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4819E">
      <w:pPr>
        <w:snapToGrid w:val="0"/>
        <w:spacing w:line="300" w:lineRule="auto"/>
        <w:jc w:val="center"/>
        <w:rPr>
          <w:rFonts w:eastAsia="楷体_GB2312"/>
          <w:b/>
          <w:sz w:val="30"/>
          <w:szCs w:val="30"/>
        </w:rPr>
      </w:pPr>
    </w:p>
    <w:p w14:paraId="1B35C557">
      <w:pPr>
        <w:snapToGrid w:val="0"/>
        <w:spacing w:line="300" w:lineRule="auto"/>
        <w:jc w:val="center"/>
        <w:rPr>
          <w:rFonts w:eastAsia="楷体_GB2312"/>
          <w:b/>
          <w:sz w:val="30"/>
          <w:szCs w:val="30"/>
        </w:rPr>
      </w:pPr>
    </w:p>
    <w:p w14:paraId="33EDDAA6">
      <w:pPr>
        <w:snapToGrid w:val="0"/>
        <w:spacing w:line="300" w:lineRule="auto"/>
        <w:jc w:val="center"/>
        <w:rPr>
          <w:rFonts w:eastAsia="楷体_GB2312"/>
          <w:b/>
          <w:sz w:val="30"/>
          <w:szCs w:val="30"/>
        </w:rPr>
      </w:pPr>
    </w:p>
    <w:p w14:paraId="50F7FED8">
      <w:pPr>
        <w:snapToGrid w:val="0"/>
        <w:spacing w:line="300" w:lineRule="auto"/>
        <w:jc w:val="center"/>
        <w:rPr>
          <w:rFonts w:eastAsia="楷体_GB2312"/>
          <w:b/>
          <w:sz w:val="30"/>
          <w:szCs w:val="30"/>
        </w:rPr>
      </w:pPr>
    </w:p>
    <w:p w14:paraId="07FCF4EB">
      <w:pPr>
        <w:snapToGrid w:val="0"/>
        <w:spacing w:line="300" w:lineRule="auto"/>
        <w:jc w:val="center"/>
        <w:rPr>
          <w:rFonts w:eastAsia="楷体_GB2312"/>
          <w:b/>
          <w:sz w:val="30"/>
          <w:szCs w:val="30"/>
        </w:rPr>
      </w:pPr>
    </w:p>
    <w:p w14:paraId="6AA3CE47">
      <w:pPr>
        <w:snapToGrid w:val="0"/>
        <w:spacing w:line="300" w:lineRule="auto"/>
        <w:jc w:val="center"/>
        <w:rPr>
          <w:rFonts w:eastAsia="楷体_GB2312"/>
          <w:b/>
          <w:sz w:val="30"/>
          <w:szCs w:val="30"/>
        </w:rPr>
      </w:pPr>
    </w:p>
    <w:p w14:paraId="1FD2FD0D">
      <w:pPr>
        <w:snapToGrid w:val="0"/>
        <w:spacing w:line="300" w:lineRule="auto"/>
        <w:jc w:val="center"/>
        <w:rPr>
          <w:rFonts w:eastAsia="楷体_GB2312"/>
          <w:b/>
          <w:sz w:val="30"/>
          <w:szCs w:val="30"/>
        </w:rPr>
      </w:pPr>
    </w:p>
    <w:p w14:paraId="594DC4D3">
      <w:pPr>
        <w:snapToGrid w:val="0"/>
        <w:spacing w:line="300" w:lineRule="auto"/>
        <w:jc w:val="center"/>
        <w:rPr>
          <w:rFonts w:eastAsia="楷体_GB2312"/>
          <w:b/>
          <w:sz w:val="30"/>
          <w:szCs w:val="30"/>
        </w:rPr>
      </w:pPr>
    </w:p>
    <w:p w14:paraId="4B8279B7">
      <w:pPr>
        <w:snapToGrid w:val="0"/>
        <w:spacing w:line="300" w:lineRule="auto"/>
        <w:jc w:val="center"/>
        <w:rPr>
          <w:rFonts w:eastAsia="楷体_GB2312"/>
          <w:b/>
          <w:sz w:val="30"/>
          <w:szCs w:val="30"/>
        </w:rPr>
      </w:pPr>
    </w:p>
    <w:p w14:paraId="265B71B5">
      <w:pPr>
        <w:snapToGrid w:val="0"/>
        <w:spacing w:line="300" w:lineRule="auto"/>
        <w:jc w:val="center"/>
        <w:rPr>
          <w:rFonts w:eastAsia="楷体_GB2312"/>
          <w:b/>
          <w:sz w:val="30"/>
          <w:szCs w:val="30"/>
        </w:rPr>
      </w:pPr>
    </w:p>
    <w:p w14:paraId="496133EB">
      <w:pPr>
        <w:snapToGrid w:val="0"/>
        <w:spacing w:line="300" w:lineRule="auto"/>
        <w:jc w:val="center"/>
        <w:rPr>
          <w:rFonts w:eastAsia="楷体_GB2312"/>
          <w:b/>
          <w:sz w:val="30"/>
          <w:szCs w:val="30"/>
        </w:rPr>
      </w:pPr>
      <w:r>
        <w:rPr>
          <w:rFonts w:eastAsia="楷体_GB2312"/>
          <w:b/>
          <w:sz w:val="30"/>
          <w:szCs w:val="30"/>
        </w:rPr>
        <w:t>《</w:t>
      </w:r>
      <w:r>
        <w:rPr>
          <w:rFonts w:hint="eastAsia" w:eastAsia="楷体_GB2312"/>
          <w:b/>
          <w:sz w:val="30"/>
          <w:szCs w:val="30"/>
        </w:rPr>
        <w:t>中国证券期货市场衍生品交易主协议</w:t>
      </w:r>
      <w:r>
        <w:rPr>
          <w:rFonts w:eastAsia="楷体_GB2312"/>
          <w:b/>
          <w:sz w:val="30"/>
          <w:szCs w:val="30"/>
        </w:rPr>
        <w:t>》</w:t>
      </w:r>
    </w:p>
    <w:p w14:paraId="419A80B7">
      <w:pPr>
        <w:snapToGrid w:val="0"/>
        <w:spacing w:line="300" w:lineRule="auto"/>
        <w:jc w:val="center"/>
        <w:rPr>
          <w:rFonts w:eastAsia="楷体_GB2312"/>
          <w:b/>
          <w:sz w:val="30"/>
          <w:szCs w:val="30"/>
        </w:rPr>
      </w:pPr>
    </w:p>
    <w:p w14:paraId="64F66701">
      <w:pPr>
        <w:snapToGrid w:val="0"/>
        <w:spacing w:line="300" w:lineRule="auto"/>
        <w:jc w:val="center"/>
        <w:rPr>
          <w:rFonts w:eastAsia="楷体_GB2312"/>
          <w:b/>
          <w:sz w:val="30"/>
          <w:szCs w:val="30"/>
        </w:rPr>
      </w:pPr>
    </w:p>
    <w:p w14:paraId="73C039E1">
      <w:pPr>
        <w:snapToGrid w:val="0"/>
        <w:spacing w:line="300" w:lineRule="auto"/>
        <w:jc w:val="center"/>
        <w:rPr>
          <w:rFonts w:eastAsia="楷体_GB2312"/>
          <w:b/>
          <w:sz w:val="30"/>
          <w:szCs w:val="30"/>
        </w:rPr>
      </w:pPr>
    </w:p>
    <w:p w14:paraId="436526FD">
      <w:pPr>
        <w:snapToGrid w:val="0"/>
        <w:spacing w:line="300" w:lineRule="auto"/>
        <w:jc w:val="center"/>
        <w:rPr>
          <w:rFonts w:eastAsia="楷体_GB2312"/>
          <w:b/>
          <w:color w:val="000000"/>
          <w:sz w:val="30"/>
          <w:szCs w:val="30"/>
        </w:rPr>
      </w:pPr>
      <w:r>
        <w:rPr>
          <w:rFonts w:eastAsia="楷体_GB2312"/>
          <w:b/>
          <w:color w:val="000000"/>
          <w:sz w:val="30"/>
          <w:szCs w:val="30"/>
        </w:rPr>
        <w:t>补充协议</w:t>
      </w:r>
    </w:p>
    <w:p w14:paraId="766108B5">
      <w:pPr>
        <w:snapToGrid w:val="0"/>
        <w:spacing w:line="300" w:lineRule="auto"/>
        <w:jc w:val="center"/>
        <w:rPr>
          <w:rFonts w:eastAsia="楷体_GB2312"/>
          <w:b/>
          <w:color w:val="000000"/>
          <w:sz w:val="30"/>
          <w:szCs w:val="30"/>
        </w:rPr>
      </w:pPr>
    </w:p>
    <w:p w14:paraId="03585342">
      <w:pPr>
        <w:snapToGrid w:val="0"/>
        <w:spacing w:line="300" w:lineRule="auto"/>
        <w:jc w:val="center"/>
        <w:rPr>
          <w:rFonts w:eastAsia="楷体_GB2312"/>
          <w:b/>
          <w:color w:val="000000"/>
          <w:sz w:val="30"/>
          <w:szCs w:val="30"/>
        </w:rPr>
      </w:pPr>
    </w:p>
    <w:p w14:paraId="0B47B4B3">
      <w:pPr>
        <w:spacing w:line="300" w:lineRule="auto"/>
        <w:rPr>
          <w:rFonts w:eastAsia="楷体_GB2312"/>
          <w:kern w:val="28"/>
          <w:sz w:val="26"/>
          <w:szCs w:val="26"/>
        </w:rPr>
      </w:pPr>
      <w:r>
        <w:rPr>
          <w:rFonts w:eastAsia="楷体_GB2312"/>
        </w:rPr>
        <w:br w:type="page"/>
      </w:r>
    </w:p>
    <w:p w14:paraId="7C55F701">
      <w:pPr>
        <w:pStyle w:val="2"/>
        <w:spacing w:before="312" w:line="300" w:lineRule="auto"/>
        <w:ind w:firstLine="522"/>
        <w:jc w:val="center"/>
        <w:rPr>
          <w:rFonts w:hint="default" w:ascii="Times New Roman" w:hAnsi="Times New Roman" w:eastAsia="楷体_GB2312"/>
          <w:kern w:val="28"/>
          <w:sz w:val="26"/>
          <w:szCs w:val="26"/>
          <w:lang w:val="en-GB"/>
        </w:rPr>
      </w:pPr>
      <w:r>
        <w:rPr>
          <w:rFonts w:ascii="Times New Roman" w:hAnsi="Times New Roman" w:eastAsia="楷体_GB2312"/>
          <w:kern w:val="28"/>
          <w:sz w:val="26"/>
          <w:szCs w:val="26"/>
          <w:lang w:val="en-GB"/>
        </w:rPr>
        <w:t>《中国证券期货市场衍生品交易主协议》补充协议</w:t>
      </w:r>
    </w:p>
    <w:p w14:paraId="3D828270">
      <w:pPr>
        <w:spacing w:before="312" w:beforeLines="100"/>
        <w:ind w:firstLine="480" w:firstLineChars="200"/>
        <w:jc w:val="left"/>
        <w:rPr>
          <w:rFonts w:eastAsia="楷体_GB2312"/>
          <w:sz w:val="24"/>
        </w:rPr>
      </w:pPr>
      <w:r>
        <w:rPr>
          <w:rFonts w:eastAsia="楷体_GB2312"/>
          <w:sz w:val="24"/>
        </w:rPr>
        <w:t>鉴于</w:t>
      </w:r>
      <w:r>
        <w:rPr>
          <w:rFonts w:hint="eastAsia" w:eastAsia="楷体_GB2312"/>
          <w:bCs/>
          <w:spacing w:val="2"/>
          <w:sz w:val="24"/>
          <w:u w:val="single"/>
          <w:lang w:eastAsia="zh-CN"/>
        </w:rPr>
        <w:t>XX</w:t>
      </w:r>
      <w:r>
        <w:rPr>
          <w:rFonts w:eastAsia="楷体_GB2312"/>
          <w:bCs/>
          <w:spacing w:val="2"/>
          <w:sz w:val="24"/>
          <w:u w:val="single"/>
        </w:rPr>
        <w:t>证券股份有限公司</w:t>
      </w:r>
      <w:r>
        <w:rPr>
          <w:rFonts w:eastAsia="楷体_GB2312"/>
          <w:sz w:val="24"/>
        </w:rPr>
        <w:t>（“甲方”）与</w:t>
      </w:r>
      <w:r>
        <w:rPr>
          <w:rFonts w:hint="eastAsia" w:eastAsia="楷体_GB2312"/>
          <w:sz w:val="24"/>
          <w:u w:val="single"/>
        </w:rPr>
        <w:t xml:space="preserve">                </w:t>
      </w:r>
      <w:r>
        <w:rPr>
          <w:rFonts w:hint="eastAsia" w:eastAsia="楷体_GB2312"/>
          <w:sz w:val="24"/>
        </w:rPr>
        <w:t>作为管理人代表其管理的代签产品列表中每一只产品</w:t>
      </w:r>
      <w:r>
        <w:rPr>
          <w:rFonts w:eastAsia="楷体_GB2312"/>
          <w:sz w:val="24"/>
        </w:rPr>
        <w:t>（“乙方”）已签署《</w:t>
      </w:r>
      <w:r>
        <w:rPr>
          <w:rFonts w:hint="eastAsia" w:eastAsia="楷体_GB2312"/>
          <w:sz w:val="24"/>
        </w:rPr>
        <w:t>中国证券期货市场衍生品交易主协议</w:t>
      </w:r>
      <w:r>
        <w:rPr>
          <w:rFonts w:eastAsia="楷体_GB2312"/>
          <w:sz w:val="24"/>
        </w:rPr>
        <w:t>》（以下简称“</w:t>
      </w:r>
      <w:r>
        <w:rPr>
          <w:rFonts w:eastAsia="楷体_GB2312"/>
          <w:b/>
          <w:sz w:val="24"/>
        </w:rPr>
        <w:t>主协议</w:t>
      </w:r>
      <w:r>
        <w:rPr>
          <w:rFonts w:eastAsia="楷体_GB2312"/>
          <w:sz w:val="24"/>
        </w:rPr>
        <w:t>”），为进一步明确各自的权利义务，双方特此签订本</w:t>
      </w:r>
      <w:r>
        <w:rPr>
          <w:rFonts w:eastAsia="楷体_GB2312"/>
          <w:b/>
          <w:sz w:val="24"/>
        </w:rPr>
        <w:t>补充协议</w:t>
      </w:r>
      <w:r>
        <w:rPr>
          <w:rFonts w:eastAsia="楷体_GB2312"/>
          <w:sz w:val="24"/>
        </w:rPr>
        <w:t>，作为</w:t>
      </w:r>
      <w:r>
        <w:rPr>
          <w:rFonts w:eastAsia="楷体_GB2312"/>
          <w:b/>
          <w:sz w:val="24"/>
        </w:rPr>
        <w:t>主协议</w:t>
      </w:r>
      <w:r>
        <w:rPr>
          <w:rFonts w:eastAsia="楷体_GB2312"/>
          <w:sz w:val="24"/>
        </w:rPr>
        <w:t>的组成部分。</w:t>
      </w:r>
    </w:p>
    <w:p w14:paraId="0FF337E6">
      <w:pPr>
        <w:spacing w:before="312" w:beforeLines="100"/>
        <w:ind w:firstLine="480" w:firstLineChars="200"/>
        <w:jc w:val="left"/>
        <w:rPr>
          <w:rFonts w:eastAsia="楷体_GB2312"/>
          <w:sz w:val="24"/>
        </w:rPr>
      </w:pPr>
      <w:r>
        <w:rPr>
          <w:rFonts w:hint="eastAsia" w:eastAsia="楷体_GB2312"/>
          <w:sz w:val="24"/>
        </w:rPr>
        <w:t>本</w:t>
      </w:r>
      <w:r>
        <w:rPr>
          <w:rFonts w:eastAsia="楷体_GB2312"/>
          <w:b/>
          <w:sz w:val="24"/>
        </w:rPr>
        <w:t>主协议</w:t>
      </w:r>
      <w:r>
        <w:rPr>
          <w:rFonts w:eastAsia="楷体_GB2312"/>
          <w:sz w:val="24"/>
        </w:rPr>
        <w:t>适用于交易双方以一对一方式达成的、按照交易双方的具体要求拟定交易条款的</w:t>
      </w:r>
      <w:r>
        <w:rPr>
          <w:rFonts w:hint="eastAsia" w:eastAsia="楷体_GB2312"/>
          <w:sz w:val="24"/>
        </w:rPr>
        <w:t>中国证券期货市场场外衍生品交易</w:t>
      </w:r>
      <w:r>
        <w:rPr>
          <w:rFonts w:eastAsia="楷体_GB2312"/>
          <w:sz w:val="24"/>
        </w:rPr>
        <w:t>。除非交易双方另有书面约定，交易双方达成的其他衍生产品交易不适用</w:t>
      </w:r>
      <w:r>
        <w:rPr>
          <w:rFonts w:eastAsia="楷体_GB2312"/>
          <w:b/>
          <w:sz w:val="24"/>
        </w:rPr>
        <w:t>主协议</w:t>
      </w:r>
      <w:r>
        <w:rPr>
          <w:rFonts w:hint="eastAsia" w:eastAsia="楷体_GB2312"/>
          <w:b/>
          <w:sz w:val="24"/>
        </w:rPr>
        <w:t>、补充协议</w:t>
      </w:r>
      <w:r>
        <w:rPr>
          <w:rFonts w:eastAsia="楷体_GB2312"/>
          <w:sz w:val="24"/>
        </w:rPr>
        <w:t>。</w:t>
      </w:r>
    </w:p>
    <w:p w14:paraId="356AB60C">
      <w:pPr>
        <w:spacing w:before="312" w:beforeLines="100"/>
        <w:ind w:firstLine="480" w:firstLineChars="200"/>
        <w:jc w:val="left"/>
        <w:rPr>
          <w:rFonts w:eastAsia="楷体_GB2312"/>
          <w:b/>
          <w:sz w:val="24"/>
        </w:rPr>
      </w:pPr>
      <w:r>
        <w:rPr>
          <w:rFonts w:eastAsia="楷体_GB2312"/>
          <w:sz w:val="24"/>
        </w:rPr>
        <w:t>交易双方签署</w:t>
      </w:r>
      <w:r>
        <w:rPr>
          <w:rFonts w:eastAsia="楷体_GB2312"/>
          <w:b/>
          <w:sz w:val="24"/>
        </w:rPr>
        <w:t>主协议</w:t>
      </w:r>
      <w:r>
        <w:rPr>
          <w:rFonts w:eastAsia="楷体_GB2312"/>
          <w:sz w:val="24"/>
        </w:rPr>
        <w:t>，</w:t>
      </w:r>
      <w:r>
        <w:rPr>
          <w:rFonts w:eastAsia="楷体_GB2312"/>
        </w:rPr>
        <w:t>除</w:t>
      </w:r>
      <w:r>
        <w:rPr>
          <w:rFonts w:eastAsia="楷体_GB2312"/>
          <w:b/>
          <w:sz w:val="24"/>
        </w:rPr>
        <w:t>主协议</w:t>
      </w:r>
      <w:r>
        <w:rPr>
          <w:rFonts w:eastAsia="楷体_GB2312"/>
          <w:sz w:val="24"/>
        </w:rPr>
        <w:t>第4.5条</w:t>
      </w:r>
      <w:r>
        <w:rPr>
          <w:rFonts w:eastAsia="楷体_GB2312"/>
          <w:b/>
          <w:sz w:val="24"/>
        </w:rPr>
        <w:t>交叉违约</w:t>
      </w:r>
      <w:r>
        <w:rPr>
          <w:rFonts w:eastAsia="楷体_GB2312"/>
          <w:sz w:val="24"/>
        </w:rPr>
        <w:t>条款、第4.7条</w:t>
      </w:r>
      <w:r>
        <w:rPr>
          <w:rFonts w:eastAsia="楷体_GB2312"/>
          <w:b/>
          <w:sz w:val="24"/>
        </w:rPr>
        <w:t>特定交易</w:t>
      </w:r>
      <w:r>
        <w:rPr>
          <w:rFonts w:eastAsia="楷体_GB2312"/>
          <w:sz w:val="24"/>
        </w:rPr>
        <w:t>下违约及第13.9条</w:t>
      </w:r>
      <w:r>
        <w:rPr>
          <w:rFonts w:eastAsia="楷体_GB2312"/>
          <w:b/>
          <w:sz w:val="24"/>
        </w:rPr>
        <w:t>抵销</w:t>
      </w:r>
      <w:r>
        <w:rPr>
          <w:rFonts w:eastAsia="楷体_GB2312"/>
          <w:sz w:val="24"/>
        </w:rPr>
        <w:t>条款(皆依本</w:t>
      </w:r>
      <w:r>
        <w:rPr>
          <w:rFonts w:eastAsia="楷体_GB2312"/>
          <w:b/>
          <w:sz w:val="24"/>
        </w:rPr>
        <w:t>补充协议</w:t>
      </w:r>
      <w:r>
        <w:rPr>
          <w:rFonts w:eastAsia="楷体_GB2312"/>
          <w:sz w:val="24"/>
        </w:rPr>
        <w:t>补充修正</w:t>
      </w:r>
      <w:r>
        <w:rPr>
          <w:rFonts w:eastAsia="楷体_GB2312"/>
          <w:b/>
          <w:sz w:val="24"/>
        </w:rPr>
        <w:t>)</w:t>
      </w:r>
      <w:r>
        <w:rPr>
          <w:rFonts w:eastAsia="楷体_GB2312"/>
          <w:sz w:val="24"/>
        </w:rPr>
        <w:t>外，不影响交易双方之间就</w:t>
      </w:r>
      <w:r>
        <w:rPr>
          <w:rFonts w:hint="eastAsia" w:eastAsia="楷体_GB2312"/>
          <w:sz w:val="24"/>
        </w:rPr>
        <w:t>中国证券期货市场场外衍生品交易</w:t>
      </w:r>
      <w:r>
        <w:rPr>
          <w:rFonts w:eastAsia="楷体_GB2312"/>
          <w:sz w:val="24"/>
        </w:rPr>
        <w:t>之外的衍生产品交易已经或将签署的其他版本主协议及其补充协议。</w:t>
      </w:r>
    </w:p>
    <w:p w14:paraId="4B16B59A">
      <w:pPr>
        <w:spacing w:before="312" w:beforeLines="100"/>
        <w:jc w:val="left"/>
        <w:rPr>
          <w:rFonts w:eastAsia="楷体_GB2312"/>
          <w:b/>
          <w:sz w:val="24"/>
        </w:rPr>
      </w:pPr>
      <w:r>
        <w:rPr>
          <w:rFonts w:eastAsia="楷体_GB2312"/>
          <w:b/>
          <w:sz w:val="24"/>
        </w:rPr>
        <w:t xml:space="preserve">第一条 </w:t>
      </w:r>
      <w:r>
        <w:rPr>
          <w:rFonts w:hint="eastAsia" w:eastAsia="楷体_GB2312"/>
          <w:b/>
          <w:sz w:val="24"/>
        </w:rPr>
        <w:t>违约和</w:t>
      </w:r>
      <w:r>
        <w:rPr>
          <w:rFonts w:eastAsia="楷体_GB2312"/>
          <w:b/>
          <w:sz w:val="24"/>
        </w:rPr>
        <w:t>终止条款</w:t>
      </w:r>
    </w:p>
    <w:p w14:paraId="65A634BD">
      <w:pPr>
        <w:spacing w:before="312" w:beforeLines="100"/>
        <w:ind w:firstLine="482"/>
        <w:jc w:val="left"/>
        <w:rPr>
          <w:rFonts w:eastAsia="楷体_GB2312"/>
          <w:sz w:val="24"/>
        </w:rPr>
      </w:pPr>
      <w:r>
        <w:rPr>
          <w:rFonts w:eastAsia="楷体_GB2312"/>
          <w:b/>
          <w:sz w:val="24"/>
        </w:rPr>
        <w:t>1</w:t>
      </w:r>
      <w:r>
        <w:rPr>
          <w:rFonts w:eastAsia="楷体_GB2312"/>
          <w:sz w:val="24"/>
        </w:rPr>
        <w:t>、</w:t>
      </w:r>
      <w:r>
        <w:rPr>
          <w:rFonts w:eastAsia="楷体_GB2312"/>
          <w:b/>
          <w:sz w:val="24"/>
        </w:rPr>
        <w:t>主协议</w:t>
      </w:r>
      <w:r>
        <w:rPr>
          <w:rFonts w:eastAsia="楷体_GB2312"/>
          <w:sz w:val="24"/>
        </w:rPr>
        <w:t>第4.5条中的“</w:t>
      </w:r>
      <w:r>
        <w:rPr>
          <w:rFonts w:eastAsia="楷体_GB2312"/>
          <w:b/>
          <w:sz w:val="24"/>
        </w:rPr>
        <w:t>交叉违约</w:t>
      </w:r>
      <w:r>
        <w:rPr>
          <w:rFonts w:eastAsia="楷体_GB2312"/>
          <w:sz w:val="24"/>
        </w:rPr>
        <w:t>”：</w:t>
      </w:r>
    </w:p>
    <w:p w14:paraId="47229BF0">
      <w:pPr>
        <w:spacing w:before="312" w:beforeLines="100"/>
        <w:ind w:firstLine="480" w:firstLineChars="200"/>
        <w:jc w:val="left"/>
        <w:rPr>
          <w:rFonts w:eastAsia="楷体_GB2312"/>
          <w:sz w:val="24"/>
        </w:rPr>
      </w:pPr>
      <w:r>
        <w:rPr>
          <w:rFonts w:eastAsia="楷体_GB2312"/>
          <w:sz w:val="24"/>
        </w:rPr>
        <w:t>【是】适用于甲方；</w:t>
      </w:r>
    </w:p>
    <w:p w14:paraId="5D0037EA">
      <w:pPr>
        <w:spacing w:before="312" w:beforeLines="100"/>
        <w:ind w:firstLine="480" w:firstLineChars="200"/>
        <w:jc w:val="left"/>
        <w:rPr>
          <w:rFonts w:eastAsia="楷体_GB2312"/>
          <w:sz w:val="24"/>
        </w:rPr>
      </w:pPr>
      <w:r>
        <w:rPr>
          <w:rFonts w:eastAsia="楷体_GB2312"/>
          <w:sz w:val="24"/>
        </w:rPr>
        <w:t>【是】适用于乙方；</w:t>
      </w:r>
    </w:p>
    <w:p w14:paraId="15DDAADE">
      <w:pPr>
        <w:spacing w:before="312" w:beforeLines="100"/>
        <w:ind w:firstLine="480" w:firstLineChars="200"/>
        <w:jc w:val="left"/>
        <w:rPr>
          <w:rFonts w:eastAsia="楷体_GB2312"/>
          <w:sz w:val="24"/>
        </w:rPr>
      </w:pPr>
      <w:r>
        <w:rPr>
          <w:rFonts w:eastAsia="楷体_GB2312"/>
          <w:sz w:val="24"/>
        </w:rPr>
        <w:t xml:space="preserve"> “</w:t>
      </w:r>
      <w:r>
        <w:rPr>
          <w:rFonts w:eastAsia="楷体_GB2312"/>
          <w:b/>
          <w:sz w:val="24"/>
        </w:rPr>
        <w:t>特定债务</w:t>
      </w:r>
      <w:r>
        <w:rPr>
          <w:rFonts w:eastAsia="楷体_GB2312"/>
          <w:sz w:val="24"/>
        </w:rPr>
        <w:t>”</w:t>
      </w:r>
    </w:p>
    <w:p w14:paraId="51770613">
      <w:pPr>
        <w:spacing w:before="312" w:beforeLines="100"/>
        <w:ind w:firstLine="480" w:firstLineChars="200"/>
        <w:jc w:val="left"/>
        <w:rPr>
          <w:rFonts w:eastAsia="楷体_GB2312"/>
          <w:sz w:val="24"/>
        </w:rPr>
      </w:pPr>
      <w:r>
        <w:rPr>
          <w:rFonts w:eastAsia="楷体_GB2312"/>
          <w:sz w:val="24"/>
        </w:rPr>
        <w:t>指</w:t>
      </w:r>
      <w:r>
        <w:rPr>
          <w:rFonts w:hint="eastAsia" w:eastAsia="楷体_GB2312"/>
          <w:sz w:val="24"/>
        </w:rPr>
        <w:t>与借款有关的任何义务，不论是现在的或将来的、或有的或已发生的、作为主债、担保或其他形式的义务，但排除一方在其正常的证券业务经营过程中任何时候因为与客户的结算资金之间的第三方存管而发生的负债义务。</w:t>
      </w:r>
    </w:p>
    <w:p w14:paraId="13144E29">
      <w:pPr>
        <w:spacing w:before="312" w:beforeLines="100"/>
        <w:ind w:firstLine="480" w:firstLineChars="200"/>
        <w:jc w:val="left"/>
        <w:rPr>
          <w:rFonts w:eastAsia="楷体_GB2312"/>
          <w:sz w:val="24"/>
        </w:rPr>
      </w:pPr>
      <w:r>
        <w:rPr>
          <w:rFonts w:hint="eastAsia" w:eastAsia="楷体_GB2312"/>
          <w:sz w:val="24"/>
        </w:rPr>
        <w:t>但因交易一方支付能力严重不足而未能履行前述负债义务的，不列入排除范围。</w:t>
      </w:r>
    </w:p>
    <w:p w14:paraId="506B38E9">
      <w:pPr>
        <w:spacing w:before="312" w:beforeLines="100"/>
        <w:ind w:firstLine="480" w:firstLineChars="200"/>
        <w:jc w:val="left"/>
        <w:rPr>
          <w:rFonts w:eastAsia="楷体_GB2312"/>
          <w:sz w:val="24"/>
        </w:rPr>
      </w:pPr>
      <w:r>
        <w:rPr>
          <w:rFonts w:eastAsia="楷体_GB2312"/>
          <w:sz w:val="24"/>
        </w:rPr>
        <w:t xml:space="preserve"> “</w:t>
      </w:r>
      <w:r>
        <w:rPr>
          <w:rFonts w:eastAsia="楷体_GB2312"/>
          <w:b/>
          <w:sz w:val="24"/>
        </w:rPr>
        <w:t>交叉违约触发金额</w:t>
      </w:r>
      <w:r>
        <w:rPr>
          <w:rFonts w:eastAsia="楷体_GB2312"/>
          <w:sz w:val="24"/>
        </w:rPr>
        <w:t>”为：</w:t>
      </w:r>
    </w:p>
    <w:p w14:paraId="61A68F10">
      <w:pPr>
        <w:spacing w:before="312" w:beforeLines="100"/>
        <w:ind w:firstLine="480" w:firstLineChars="200"/>
        <w:jc w:val="left"/>
        <w:rPr>
          <w:rFonts w:eastAsia="楷体_GB2312"/>
          <w:sz w:val="24"/>
        </w:rPr>
      </w:pPr>
      <w:r>
        <w:rPr>
          <w:rFonts w:hint="eastAsia" w:eastAsia="楷体_GB2312"/>
          <w:sz w:val="24"/>
        </w:rPr>
        <w:t>甲</w:t>
      </w:r>
      <w:r>
        <w:rPr>
          <w:rFonts w:eastAsia="楷体_GB2312"/>
          <w:sz w:val="24"/>
        </w:rPr>
        <w:t>方、其</w:t>
      </w:r>
      <w:r>
        <w:rPr>
          <w:rFonts w:eastAsia="楷体_GB2312"/>
          <w:b/>
          <w:sz w:val="24"/>
        </w:rPr>
        <w:t>履约保障提供方</w:t>
      </w:r>
      <w:r>
        <w:rPr>
          <w:rFonts w:eastAsia="楷体_GB2312"/>
          <w:sz w:val="24"/>
        </w:rPr>
        <w:t>：</w:t>
      </w:r>
      <w:r>
        <w:rPr>
          <w:rFonts w:hint="eastAsia" w:eastAsia="楷体_GB2312"/>
          <w:sz w:val="24"/>
          <w:u w:val="single"/>
        </w:rPr>
        <w:t>甲</w:t>
      </w:r>
      <w:r>
        <w:rPr>
          <w:rFonts w:eastAsia="楷体_GB2312"/>
          <w:sz w:val="24"/>
          <w:u w:val="single"/>
        </w:rPr>
        <w:t>方所有者权益的</w:t>
      </w:r>
      <w:r>
        <w:rPr>
          <w:rFonts w:hint="eastAsia" w:eastAsia="楷体_GB2312"/>
          <w:sz w:val="24"/>
          <w:u w:val="single"/>
        </w:rPr>
        <w:t>3%</w:t>
      </w:r>
      <w:r>
        <w:rPr>
          <w:rFonts w:eastAsia="楷体_GB2312"/>
          <w:sz w:val="24"/>
          <w:u w:val="single"/>
        </w:rPr>
        <w:t>（以人民币计价）</w:t>
      </w:r>
    </w:p>
    <w:p w14:paraId="347B673C">
      <w:pPr>
        <w:spacing w:before="312" w:beforeLines="100"/>
        <w:ind w:firstLine="480" w:firstLineChars="200"/>
        <w:jc w:val="left"/>
        <w:rPr>
          <w:rFonts w:eastAsia="楷体_GB2312"/>
          <w:sz w:val="24"/>
        </w:rPr>
      </w:pPr>
      <w:r>
        <w:rPr>
          <w:rFonts w:eastAsia="楷体_GB2312"/>
          <w:sz w:val="24"/>
        </w:rPr>
        <w:t>乙方、其</w:t>
      </w:r>
      <w:r>
        <w:rPr>
          <w:rFonts w:eastAsia="楷体_GB2312"/>
          <w:b/>
          <w:sz w:val="24"/>
        </w:rPr>
        <w:t>履约保障提供方</w:t>
      </w:r>
      <w:r>
        <w:rPr>
          <w:rFonts w:eastAsia="楷体_GB2312"/>
          <w:sz w:val="24"/>
        </w:rPr>
        <w:t>：</w:t>
      </w:r>
      <w:r>
        <w:rPr>
          <w:rFonts w:eastAsia="楷体_GB2312"/>
          <w:sz w:val="24"/>
          <w:u w:val="single"/>
        </w:rPr>
        <w:t>乙方所有者权益的</w:t>
      </w:r>
      <w:r>
        <w:rPr>
          <w:rFonts w:hint="eastAsia" w:eastAsia="楷体_GB2312"/>
          <w:sz w:val="24"/>
          <w:u w:val="single"/>
        </w:rPr>
        <w:t>3%</w:t>
      </w:r>
      <w:r>
        <w:rPr>
          <w:rFonts w:eastAsia="楷体_GB2312"/>
          <w:sz w:val="24"/>
          <w:u w:val="single"/>
        </w:rPr>
        <w:t xml:space="preserve">（以人民币计价） </w:t>
      </w:r>
      <w:r>
        <w:rPr>
          <w:rFonts w:eastAsia="楷体_GB2312"/>
          <w:sz w:val="24"/>
        </w:rPr>
        <w:t xml:space="preserve">                </w:t>
      </w:r>
    </w:p>
    <w:p w14:paraId="791C9ABB">
      <w:pPr>
        <w:spacing w:before="312" w:beforeLines="100"/>
        <w:ind w:firstLine="480" w:firstLineChars="200"/>
        <w:jc w:val="left"/>
        <w:rPr>
          <w:rFonts w:eastAsia="楷体_GB2312"/>
          <w:sz w:val="24"/>
        </w:rPr>
      </w:pPr>
      <w:r>
        <w:rPr>
          <w:rFonts w:hint="eastAsia" w:eastAsia="楷体_GB2312"/>
          <w:sz w:val="24"/>
        </w:rPr>
        <w:t>其中，</w:t>
      </w:r>
      <w:r>
        <w:rPr>
          <w:rFonts w:eastAsia="楷体_GB2312"/>
          <w:sz w:val="24"/>
        </w:rPr>
        <w:t>所有者权益应当根据</w:t>
      </w:r>
      <w:r>
        <w:rPr>
          <w:rFonts w:hint="eastAsia" w:eastAsia="楷体_GB2312"/>
          <w:sz w:val="24"/>
        </w:rPr>
        <w:t>甲乙双方各自在主协议第四条第4.5款“交叉违约”约定的</w:t>
      </w:r>
      <w:r>
        <w:rPr>
          <w:rFonts w:eastAsia="楷体_GB2312"/>
          <w:sz w:val="24"/>
        </w:rPr>
        <w:t>违约事件发生日前最近经审计的年度合并资产负债表确定，并且该等经审计的年度资产负债表应当根据其注册地的公认会计准则准备。</w:t>
      </w:r>
    </w:p>
    <w:p w14:paraId="3E4C5784">
      <w:pPr>
        <w:spacing w:before="156" w:beforeLines="50"/>
        <w:ind w:firstLine="480" w:firstLineChars="200"/>
        <w:jc w:val="left"/>
        <w:rPr>
          <w:rFonts w:eastAsia="楷体_GB2312"/>
          <w:sz w:val="24"/>
        </w:rPr>
      </w:pPr>
      <w:r>
        <w:rPr>
          <w:rFonts w:eastAsia="楷体_GB2312"/>
          <w:sz w:val="24"/>
        </w:rPr>
        <w:t>在判断</w:t>
      </w:r>
      <w:r>
        <w:rPr>
          <w:rFonts w:eastAsia="楷体_GB2312"/>
          <w:b/>
          <w:sz w:val="24"/>
        </w:rPr>
        <w:t>主协议</w:t>
      </w:r>
      <w:r>
        <w:rPr>
          <w:rFonts w:eastAsia="楷体_GB2312"/>
          <w:sz w:val="24"/>
        </w:rPr>
        <w:t>第4.5.1条所述累计违约金额和/或第4.5.2条所述累计本金数额是否超过</w:t>
      </w:r>
      <w:bookmarkStart w:id="0" w:name="OLE_LINK7"/>
      <w:bookmarkStart w:id="1" w:name="OLE_LINK8"/>
      <w:r>
        <w:rPr>
          <w:rFonts w:eastAsia="楷体_GB2312"/>
          <w:b/>
          <w:sz w:val="24"/>
        </w:rPr>
        <w:t>交叉违约触发金额</w:t>
      </w:r>
      <w:bookmarkEnd w:id="0"/>
      <w:bookmarkEnd w:id="1"/>
      <w:r>
        <w:rPr>
          <w:rFonts w:eastAsia="楷体_GB2312"/>
          <w:sz w:val="24"/>
        </w:rPr>
        <w:t>时，如果</w:t>
      </w:r>
      <w:r>
        <w:rPr>
          <w:rFonts w:eastAsia="楷体_GB2312"/>
          <w:b/>
          <w:sz w:val="24"/>
        </w:rPr>
        <w:t>特定债务</w:t>
      </w:r>
      <w:r>
        <w:rPr>
          <w:rFonts w:eastAsia="楷体_GB2312"/>
          <w:sz w:val="24"/>
        </w:rPr>
        <w:t>下的违约金额以</w:t>
      </w:r>
      <w:r>
        <w:rPr>
          <w:rFonts w:eastAsia="楷体_GB2312"/>
          <w:b/>
          <w:sz w:val="24"/>
        </w:rPr>
        <w:t>交叉违约触发金额</w:t>
      </w:r>
      <w:r>
        <w:rPr>
          <w:rFonts w:eastAsia="楷体_GB2312"/>
          <w:sz w:val="24"/>
        </w:rPr>
        <w:t>的计价货币以外的货币表示，则违约金额应按</w:t>
      </w:r>
      <w:r>
        <w:rPr>
          <w:rFonts w:eastAsia="楷体_GB2312"/>
          <w:b/>
          <w:sz w:val="24"/>
        </w:rPr>
        <w:t>违约事件</w:t>
      </w:r>
      <w:r>
        <w:rPr>
          <w:rFonts w:eastAsia="楷体_GB2312"/>
          <w:sz w:val="24"/>
        </w:rPr>
        <w:t>发生日中国人民银行公布或授权公布的人民币外汇牌价中间价转换为</w:t>
      </w:r>
      <w:r>
        <w:rPr>
          <w:rFonts w:eastAsia="楷体_GB2312"/>
          <w:b/>
          <w:sz w:val="24"/>
        </w:rPr>
        <w:t>交叉违约触发金额</w:t>
      </w:r>
      <w:r>
        <w:rPr>
          <w:rFonts w:eastAsia="楷体_GB2312"/>
          <w:sz w:val="24"/>
        </w:rPr>
        <w:t>的计价货币；对于中国人民银行日常未公布或授权公布人民币外汇牌价中间价的货币而言，应按</w:t>
      </w:r>
      <w:r>
        <w:rPr>
          <w:rFonts w:eastAsia="楷体_GB2312"/>
          <w:b/>
          <w:sz w:val="24"/>
        </w:rPr>
        <w:t>违约事件</w:t>
      </w:r>
      <w:r>
        <w:rPr>
          <w:rFonts w:eastAsia="楷体_GB2312"/>
          <w:sz w:val="24"/>
        </w:rPr>
        <w:t>发生日相关货币发行国的央行或类似授权政府机构公布的该种货币对美元或欧元的定盘价与中国人民银行公布或授权公布的相关人民币外汇牌价中间价进行套算；如果通过上述方式仍不能确定相应转换汇率，则由</w:t>
      </w:r>
      <w:r>
        <w:rPr>
          <w:rFonts w:eastAsia="楷体_GB2312"/>
          <w:b/>
          <w:sz w:val="24"/>
        </w:rPr>
        <w:t>守约方</w:t>
      </w:r>
      <w:r>
        <w:rPr>
          <w:rFonts w:eastAsia="楷体_GB2312"/>
          <w:sz w:val="24"/>
        </w:rPr>
        <w:t>按相关市场惯例确定。</w:t>
      </w:r>
      <w:r>
        <w:rPr>
          <w:rFonts w:eastAsia="楷体_GB2312"/>
          <w:b/>
          <w:sz w:val="24"/>
        </w:rPr>
        <w:t>守约方</w:t>
      </w:r>
      <w:r>
        <w:rPr>
          <w:rFonts w:eastAsia="楷体_GB2312"/>
          <w:sz w:val="24"/>
        </w:rPr>
        <w:t>的换算或套算应按照诚实信用原则并以商业上合理的方式进行。</w:t>
      </w:r>
    </w:p>
    <w:p w14:paraId="4E8FE122">
      <w:pPr>
        <w:autoSpaceDE w:val="0"/>
        <w:autoSpaceDN w:val="0"/>
        <w:adjustRightInd w:val="0"/>
        <w:spacing w:before="93" w:beforeLines="30"/>
        <w:ind w:firstLine="480" w:firstLineChars="200"/>
        <w:rPr>
          <w:rFonts w:eastAsia="楷体_GB2312"/>
          <w:sz w:val="24"/>
        </w:rPr>
      </w:pPr>
      <w:r>
        <w:rPr>
          <w:rFonts w:eastAsia="楷体_GB2312"/>
          <w:sz w:val="24"/>
        </w:rPr>
        <w:t>就上述任何一种中间价（或报价、牌价）而言，如果</w:t>
      </w:r>
      <w:r>
        <w:rPr>
          <w:rFonts w:eastAsia="楷体_GB2312"/>
          <w:b/>
          <w:bCs/>
          <w:sz w:val="24"/>
        </w:rPr>
        <w:t>违约事件</w:t>
      </w:r>
      <w:r>
        <w:rPr>
          <w:rFonts w:eastAsia="楷体_GB2312"/>
          <w:sz w:val="24"/>
        </w:rPr>
        <w:t>发生日上述公布机构未公布相应中间价（或报价、牌价），则</w:t>
      </w:r>
      <w:r>
        <w:rPr>
          <w:rFonts w:eastAsia="楷体_GB2312"/>
          <w:b/>
          <w:bCs/>
          <w:sz w:val="24"/>
        </w:rPr>
        <w:t>违约事件</w:t>
      </w:r>
      <w:r>
        <w:rPr>
          <w:rFonts w:eastAsia="楷体_GB2312"/>
          <w:sz w:val="24"/>
        </w:rPr>
        <w:t>发生日之前最近公布的中间价（或报价、牌价）应视为</w:t>
      </w:r>
      <w:r>
        <w:rPr>
          <w:rFonts w:eastAsia="楷体_GB2312"/>
          <w:b/>
          <w:bCs/>
          <w:sz w:val="24"/>
        </w:rPr>
        <w:t>违约事件</w:t>
      </w:r>
      <w:r>
        <w:rPr>
          <w:rFonts w:eastAsia="楷体_GB2312"/>
          <w:sz w:val="24"/>
        </w:rPr>
        <w:t>发生日公布的该等中间价（或报价、牌价），而不采用</w:t>
      </w:r>
      <w:r>
        <w:rPr>
          <w:rFonts w:eastAsia="楷体_GB2312"/>
          <w:b/>
          <w:bCs/>
          <w:sz w:val="24"/>
        </w:rPr>
        <w:t>违约事件</w:t>
      </w:r>
      <w:r>
        <w:rPr>
          <w:rFonts w:eastAsia="楷体_GB2312"/>
          <w:sz w:val="24"/>
        </w:rPr>
        <w:t>发生日当日其他机构公布的相应的中间价（或报价、牌价）。</w:t>
      </w:r>
    </w:p>
    <w:p w14:paraId="0DE2DF02">
      <w:pPr>
        <w:autoSpaceDE w:val="0"/>
        <w:autoSpaceDN w:val="0"/>
        <w:adjustRightInd w:val="0"/>
        <w:spacing w:before="93" w:beforeLines="30"/>
        <w:ind w:firstLine="480" w:firstLineChars="200"/>
        <w:rPr>
          <w:rFonts w:eastAsia="楷体_GB2312"/>
          <w:sz w:val="24"/>
        </w:rPr>
      </w:pPr>
      <w:r>
        <w:rPr>
          <w:rFonts w:hint="eastAsia" w:eastAsia="楷体_GB2312"/>
          <w:sz w:val="24"/>
        </w:rPr>
        <w:t>然而，就双方而言，下列情况应不构成主协议第四条第4.5款“交叉违约”所约定的违约事件：</w:t>
      </w:r>
    </w:p>
    <w:p w14:paraId="4719DC02">
      <w:pPr>
        <w:numPr>
          <w:ilvl w:val="0"/>
          <w:numId w:val="1"/>
        </w:numPr>
        <w:autoSpaceDE w:val="0"/>
        <w:autoSpaceDN w:val="0"/>
        <w:adjustRightInd w:val="0"/>
        <w:spacing w:before="93" w:beforeLines="30"/>
        <w:ind w:firstLine="480" w:firstLineChars="200"/>
        <w:rPr>
          <w:rFonts w:eastAsia="楷体_GB2312"/>
          <w:sz w:val="24"/>
        </w:rPr>
      </w:pPr>
      <w:r>
        <w:rPr>
          <w:rFonts w:hint="eastAsia" w:eastAsia="楷体_GB2312"/>
          <w:sz w:val="24"/>
        </w:rPr>
        <w:t>如果（i）主协议第四条第4.5款所述的违约或类似违约事件或情形是因为在操作、处理方面发生错误、遗漏而未能付款或者交付所导致的，且（ii）该方拥有应予交付的款项或资产使其能够在到期时履行相关付款或者交付义务，并且（iii）在违约利害关系人就该等未能付款事实发出书面通知后的3个交易日内做出了付款或交付；或</w:t>
      </w:r>
    </w:p>
    <w:p w14:paraId="2D4D6A96">
      <w:pPr>
        <w:numPr>
          <w:ilvl w:val="0"/>
          <w:numId w:val="1"/>
        </w:numPr>
        <w:autoSpaceDE w:val="0"/>
        <w:autoSpaceDN w:val="0"/>
        <w:adjustRightInd w:val="0"/>
        <w:spacing w:before="93" w:beforeLines="30"/>
        <w:ind w:firstLine="480" w:firstLineChars="200"/>
        <w:rPr>
          <w:rFonts w:eastAsia="楷体_GB2312"/>
          <w:sz w:val="24"/>
        </w:rPr>
      </w:pPr>
      <w:r>
        <w:rPr>
          <w:rFonts w:hint="eastAsia" w:eastAsia="楷体_GB2312"/>
          <w:sz w:val="24"/>
        </w:rPr>
        <w:t>因为主协议第六条所述不可抗力事件、其他终止事件而阻止或使得该方不能采用合理的方式进行付款。</w:t>
      </w:r>
    </w:p>
    <w:p w14:paraId="5EDAD0A8">
      <w:pPr>
        <w:numPr>
          <w:ilvl w:val="0"/>
          <w:numId w:val="1"/>
        </w:numPr>
        <w:autoSpaceDE w:val="0"/>
        <w:autoSpaceDN w:val="0"/>
        <w:adjustRightInd w:val="0"/>
        <w:spacing w:before="93" w:beforeLines="30"/>
        <w:ind w:firstLine="480" w:firstLineChars="200"/>
        <w:rPr>
          <w:rFonts w:eastAsia="楷体_GB2312"/>
          <w:sz w:val="24"/>
        </w:rPr>
      </w:pPr>
      <w:r>
        <w:rPr>
          <w:rFonts w:ascii="楷体" w:hAnsi="楷体" w:eastAsia="楷体"/>
          <w:sz w:val="24"/>
        </w:rPr>
        <w:t>就交易一方而言，如果主协议第4.5.1款所述累计</w:t>
      </w:r>
      <w:r>
        <w:rPr>
          <w:rFonts w:hint="eastAsia" w:ascii="楷体" w:hAnsi="楷体" w:eastAsia="楷体"/>
          <w:sz w:val="24"/>
        </w:rPr>
        <w:t>违约金额</w:t>
      </w:r>
      <w:r>
        <w:rPr>
          <w:rFonts w:ascii="楷体" w:hAnsi="楷体" w:eastAsia="楷体"/>
          <w:sz w:val="24"/>
        </w:rPr>
        <w:t>少于交叉违约触发金额，并且主协议第4.5.2条款所述累计</w:t>
      </w:r>
      <w:r>
        <w:rPr>
          <w:rFonts w:hint="eastAsia" w:ascii="楷体" w:hAnsi="楷体" w:eastAsia="楷体"/>
          <w:sz w:val="24"/>
        </w:rPr>
        <w:t>本金</w:t>
      </w:r>
      <w:r>
        <w:rPr>
          <w:rFonts w:ascii="楷体" w:hAnsi="楷体" w:eastAsia="楷体"/>
          <w:sz w:val="24"/>
        </w:rPr>
        <w:t>金额也少于交叉违约触发金额，但若上述累计本金数额与累计违约金额两者之和不少于交叉违约触发金额，则应被视为构成该方在主协议4.5条下的</w:t>
      </w:r>
      <w:r>
        <w:rPr>
          <w:rFonts w:ascii="楷体" w:hAnsi="楷体" w:eastAsia="楷体"/>
          <w:b/>
          <w:sz w:val="24"/>
        </w:rPr>
        <w:t>违约事件</w:t>
      </w:r>
      <w:r>
        <w:rPr>
          <w:rFonts w:ascii="楷体" w:hAnsi="楷体" w:eastAsia="楷体"/>
          <w:sz w:val="24"/>
        </w:rPr>
        <w:t>。</w:t>
      </w:r>
    </w:p>
    <w:p w14:paraId="692AECE2">
      <w:pPr>
        <w:spacing w:before="312" w:beforeLines="100"/>
        <w:ind w:firstLine="482"/>
        <w:jc w:val="left"/>
        <w:rPr>
          <w:rFonts w:eastAsia="楷体_GB2312"/>
          <w:sz w:val="24"/>
        </w:rPr>
      </w:pPr>
      <w:r>
        <w:rPr>
          <w:rFonts w:eastAsia="楷体_GB2312"/>
          <w:b/>
          <w:sz w:val="24"/>
        </w:rPr>
        <w:t>2、</w:t>
      </w:r>
      <w:r>
        <w:rPr>
          <w:rFonts w:hint="eastAsia" w:eastAsia="楷体_GB2312"/>
          <w:b/>
          <w:sz w:val="24"/>
        </w:rPr>
        <w:t>主协议</w:t>
      </w:r>
      <w:r>
        <w:rPr>
          <w:rFonts w:hint="eastAsia" w:eastAsia="楷体_GB2312"/>
          <w:sz w:val="24"/>
        </w:rPr>
        <w:t>第4</w:t>
      </w:r>
      <w:r>
        <w:rPr>
          <w:rFonts w:eastAsia="楷体_GB2312"/>
          <w:sz w:val="24"/>
        </w:rPr>
        <w:t>.</w:t>
      </w:r>
      <w:r>
        <w:rPr>
          <w:rFonts w:hint="eastAsia" w:eastAsia="楷体_GB2312"/>
          <w:sz w:val="24"/>
        </w:rPr>
        <w:t>7条中的</w:t>
      </w:r>
      <w:r>
        <w:rPr>
          <w:rFonts w:eastAsia="楷体_GB2312"/>
          <w:sz w:val="24"/>
        </w:rPr>
        <w:t>“</w:t>
      </w:r>
      <w:r>
        <w:rPr>
          <w:rFonts w:hint="eastAsia" w:eastAsia="楷体_GB2312"/>
          <w:b/>
          <w:sz w:val="24"/>
        </w:rPr>
        <w:t>特定交易下违约</w:t>
      </w:r>
      <w:r>
        <w:rPr>
          <w:rFonts w:eastAsia="楷体_GB2312"/>
          <w:sz w:val="24"/>
        </w:rPr>
        <w:t>”</w:t>
      </w:r>
      <w:r>
        <w:rPr>
          <w:rFonts w:hint="eastAsia" w:eastAsia="楷体_GB2312"/>
          <w:sz w:val="24"/>
        </w:rPr>
        <w:t>：</w:t>
      </w:r>
    </w:p>
    <w:p w14:paraId="74787233">
      <w:pPr>
        <w:spacing w:before="312" w:beforeLines="100"/>
        <w:ind w:firstLine="480" w:firstLineChars="200"/>
        <w:jc w:val="left"/>
        <w:rPr>
          <w:rFonts w:eastAsia="楷体_GB2312"/>
          <w:sz w:val="24"/>
        </w:rPr>
      </w:pPr>
      <w:r>
        <w:rPr>
          <w:rFonts w:hint="eastAsia" w:eastAsia="楷体_GB2312"/>
          <w:sz w:val="24"/>
        </w:rPr>
        <w:t>【是】适用于甲方；</w:t>
      </w:r>
    </w:p>
    <w:p w14:paraId="348F7F4E">
      <w:pPr>
        <w:spacing w:before="312" w:beforeLines="100"/>
        <w:ind w:firstLine="480" w:firstLineChars="200"/>
        <w:jc w:val="left"/>
        <w:rPr>
          <w:rFonts w:eastAsia="楷体_GB2312"/>
          <w:sz w:val="24"/>
        </w:rPr>
      </w:pPr>
      <w:r>
        <w:rPr>
          <w:rFonts w:hint="eastAsia" w:eastAsia="楷体_GB2312"/>
          <w:sz w:val="24"/>
        </w:rPr>
        <w:t>【是】适用于乙方；</w:t>
      </w:r>
    </w:p>
    <w:p w14:paraId="47329470">
      <w:pPr>
        <w:spacing w:before="312" w:beforeLines="100"/>
        <w:ind w:firstLine="480" w:firstLineChars="200"/>
        <w:jc w:val="left"/>
        <w:rPr>
          <w:rFonts w:eastAsia="楷体_GB2312"/>
          <w:sz w:val="24"/>
        </w:rPr>
      </w:pPr>
      <w:r>
        <w:rPr>
          <w:rFonts w:eastAsia="楷体_GB2312"/>
          <w:sz w:val="24"/>
        </w:rPr>
        <w:t>“</w:t>
      </w:r>
      <w:r>
        <w:rPr>
          <w:rFonts w:hint="eastAsia" w:eastAsia="楷体_GB2312"/>
          <w:b/>
          <w:sz w:val="24"/>
        </w:rPr>
        <w:t>特定交易</w:t>
      </w:r>
      <w:r>
        <w:rPr>
          <w:rFonts w:eastAsia="楷体_GB2312"/>
          <w:sz w:val="24"/>
        </w:rPr>
        <w:t>”</w:t>
      </w:r>
    </w:p>
    <w:p w14:paraId="4C0BF7AB">
      <w:pPr>
        <w:spacing w:before="312" w:beforeLines="100"/>
        <w:ind w:firstLine="480" w:firstLineChars="200"/>
        <w:jc w:val="left"/>
        <w:rPr>
          <w:rFonts w:eastAsia="楷体_GB2312"/>
          <w:sz w:val="24"/>
        </w:rPr>
      </w:pPr>
      <w:r>
        <w:rPr>
          <w:rFonts w:hint="eastAsia" w:eastAsia="楷体_GB2312"/>
          <w:sz w:val="24"/>
        </w:rPr>
        <w:t>【同主协议第十四条定义条款的含义】</w:t>
      </w:r>
    </w:p>
    <w:p w14:paraId="6C9D6A89">
      <w:pPr>
        <w:spacing w:before="312" w:beforeLines="100"/>
        <w:ind w:firstLine="482"/>
        <w:jc w:val="left"/>
        <w:rPr>
          <w:rFonts w:eastAsia="楷体_GB2312"/>
          <w:sz w:val="24"/>
        </w:rPr>
      </w:pPr>
      <w:r>
        <w:rPr>
          <w:rFonts w:hint="eastAsia" w:eastAsia="楷体_GB2312"/>
          <w:b/>
          <w:sz w:val="24"/>
        </w:rPr>
        <w:t>3、</w:t>
      </w:r>
      <w:r>
        <w:rPr>
          <w:rFonts w:eastAsia="楷体_GB2312"/>
          <w:b/>
          <w:sz w:val="24"/>
        </w:rPr>
        <w:t>主协议</w:t>
      </w:r>
      <w:r>
        <w:rPr>
          <w:rFonts w:eastAsia="楷体_GB2312"/>
          <w:sz w:val="24"/>
        </w:rPr>
        <w:t>第5.1条中的“</w:t>
      </w:r>
      <w:r>
        <w:rPr>
          <w:rFonts w:eastAsia="楷体_GB2312"/>
          <w:b/>
          <w:sz w:val="24"/>
        </w:rPr>
        <w:t>自动提前终止</w:t>
      </w:r>
      <w:r>
        <w:rPr>
          <w:rFonts w:eastAsia="楷体_GB2312"/>
          <w:sz w:val="24"/>
        </w:rPr>
        <w:t>”：</w:t>
      </w:r>
    </w:p>
    <w:p w14:paraId="42635B0F">
      <w:pPr>
        <w:spacing w:before="312" w:beforeLines="100"/>
        <w:ind w:firstLine="480" w:firstLineChars="200"/>
        <w:jc w:val="left"/>
        <w:rPr>
          <w:rFonts w:eastAsia="楷体_GB2312"/>
          <w:sz w:val="24"/>
        </w:rPr>
      </w:pPr>
      <w:r>
        <w:rPr>
          <w:rFonts w:eastAsia="楷体_GB2312"/>
          <w:sz w:val="24"/>
        </w:rPr>
        <w:t>【是】适用于甲方；</w:t>
      </w:r>
    </w:p>
    <w:p w14:paraId="35E7C656">
      <w:pPr>
        <w:spacing w:before="312" w:beforeLines="100"/>
        <w:ind w:firstLine="480" w:firstLineChars="200"/>
        <w:jc w:val="left"/>
        <w:rPr>
          <w:rFonts w:eastAsia="楷体_GB2312"/>
          <w:sz w:val="24"/>
        </w:rPr>
      </w:pPr>
      <w:r>
        <w:rPr>
          <w:rFonts w:eastAsia="楷体_GB2312"/>
          <w:sz w:val="24"/>
        </w:rPr>
        <w:t>【是】适用于乙方；</w:t>
      </w:r>
    </w:p>
    <w:p w14:paraId="3993267C">
      <w:pPr>
        <w:spacing w:before="312" w:beforeLines="100"/>
        <w:ind w:firstLine="480" w:firstLineChars="200"/>
        <w:jc w:val="left"/>
        <w:rPr>
          <w:rFonts w:eastAsia="楷体_GB2312"/>
          <w:sz w:val="24"/>
        </w:rPr>
      </w:pPr>
      <w:r>
        <w:rPr>
          <w:rFonts w:eastAsia="楷体_GB2312"/>
          <w:sz w:val="24"/>
        </w:rPr>
        <w:t>如果一个</w:t>
      </w:r>
      <w:r>
        <w:rPr>
          <w:rFonts w:eastAsia="楷体_GB2312"/>
          <w:b/>
          <w:bCs/>
          <w:sz w:val="24"/>
        </w:rPr>
        <w:t>提前终止日</w:t>
      </w:r>
      <w:r>
        <w:rPr>
          <w:rFonts w:eastAsia="楷体_GB2312"/>
          <w:sz w:val="24"/>
        </w:rPr>
        <w:t>因为“自动提前终止”适用于</w:t>
      </w:r>
      <w:r>
        <w:rPr>
          <w:rFonts w:eastAsia="楷体_GB2312"/>
          <w:b/>
          <w:sz w:val="24"/>
        </w:rPr>
        <w:t>交易一方</w:t>
      </w:r>
      <w:r>
        <w:rPr>
          <w:rFonts w:eastAsia="楷体_GB2312"/>
          <w:sz w:val="24"/>
        </w:rPr>
        <w:t>而被视为发生，</w:t>
      </w:r>
      <w:r>
        <w:rPr>
          <w:rFonts w:eastAsia="楷体_GB2312"/>
          <w:b/>
          <w:bCs/>
          <w:sz w:val="24"/>
        </w:rPr>
        <w:t>违约方</w:t>
      </w:r>
      <w:r>
        <w:rPr>
          <w:rFonts w:eastAsia="楷体_GB2312"/>
          <w:sz w:val="24"/>
        </w:rPr>
        <w:t>在此同意，将应</w:t>
      </w:r>
      <w:r>
        <w:rPr>
          <w:rFonts w:eastAsia="楷体_GB2312"/>
          <w:b/>
          <w:bCs/>
          <w:sz w:val="24"/>
        </w:rPr>
        <w:t>守约方</w:t>
      </w:r>
      <w:r>
        <w:rPr>
          <w:rFonts w:eastAsia="楷体_GB2312"/>
          <w:sz w:val="24"/>
        </w:rPr>
        <w:t>的要求，就股票价格、股票指数、利率、汇率、其他价格等自</w:t>
      </w:r>
      <w:r>
        <w:rPr>
          <w:rFonts w:eastAsia="楷体_GB2312"/>
          <w:b/>
          <w:sz w:val="24"/>
        </w:rPr>
        <w:t>提前终止日</w:t>
      </w:r>
      <w:r>
        <w:rPr>
          <w:rFonts w:eastAsia="楷体_GB2312"/>
          <w:sz w:val="24"/>
        </w:rPr>
        <w:t>始至</w:t>
      </w:r>
      <w:r>
        <w:rPr>
          <w:rFonts w:eastAsia="楷体_GB2312"/>
          <w:b/>
          <w:bCs/>
          <w:sz w:val="24"/>
        </w:rPr>
        <w:t>守约方</w:t>
      </w:r>
      <w:r>
        <w:rPr>
          <w:rFonts w:eastAsia="楷体_GB2312"/>
          <w:sz w:val="24"/>
        </w:rPr>
        <w:t>首次意识到</w:t>
      </w:r>
      <w:r>
        <w:rPr>
          <w:rFonts w:eastAsia="楷体_GB2312"/>
          <w:b/>
          <w:bCs/>
          <w:sz w:val="24"/>
        </w:rPr>
        <w:t>提前终止日</w:t>
      </w:r>
      <w:r>
        <w:rPr>
          <w:rFonts w:eastAsia="楷体_GB2312"/>
          <w:sz w:val="24"/>
        </w:rPr>
        <w:t>已经发生之日(“</w:t>
      </w:r>
      <w:r>
        <w:rPr>
          <w:rFonts w:eastAsia="楷体_GB2312"/>
          <w:b/>
          <w:bCs/>
          <w:sz w:val="24"/>
        </w:rPr>
        <w:t>决定日</w:t>
      </w:r>
      <w:r>
        <w:rPr>
          <w:rFonts w:eastAsia="楷体_GB2312"/>
          <w:sz w:val="24"/>
        </w:rPr>
        <w:t>”)为止的时间段内所发生的变动而导致</w:t>
      </w:r>
      <w:r>
        <w:rPr>
          <w:rFonts w:eastAsia="楷体_GB2312"/>
          <w:b/>
          <w:bCs/>
          <w:sz w:val="24"/>
        </w:rPr>
        <w:t>守约方</w:t>
      </w:r>
      <w:r>
        <w:rPr>
          <w:rFonts w:eastAsia="楷体_GB2312"/>
          <w:sz w:val="24"/>
        </w:rPr>
        <w:t>在有关</w:t>
      </w:r>
      <w:r>
        <w:rPr>
          <w:rFonts w:eastAsia="楷体_GB2312"/>
          <w:b/>
          <w:sz w:val="24"/>
        </w:rPr>
        <w:t>交易</w:t>
      </w:r>
      <w:r>
        <w:rPr>
          <w:rFonts w:eastAsia="楷体_GB2312"/>
          <w:sz w:val="24"/>
        </w:rPr>
        <w:t>下可能产生或遭受的一切损失与损害予以全部补偿。</w:t>
      </w:r>
    </w:p>
    <w:p w14:paraId="41E2EF4F">
      <w:pPr>
        <w:spacing w:before="312" w:beforeLines="100"/>
        <w:ind w:firstLine="480" w:firstLineChars="200"/>
        <w:jc w:val="left"/>
        <w:rPr>
          <w:rFonts w:eastAsia="楷体_GB2312"/>
          <w:sz w:val="24"/>
        </w:rPr>
      </w:pPr>
      <w:r>
        <w:rPr>
          <w:rFonts w:eastAsia="楷体_GB2312"/>
          <w:sz w:val="24"/>
        </w:rPr>
        <w:t>如果</w:t>
      </w:r>
      <w:r>
        <w:rPr>
          <w:rFonts w:eastAsia="楷体_GB2312"/>
          <w:b/>
          <w:bCs/>
          <w:sz w:val="24"/>
        </w:rPr>
        <w:t>守约方</w:t>
      </w:r>
      <w:r>
        <w:rPr>
          <w:rFonts w:eastAsia="楷体_GB2312"/>
          <w:sz w:val="24"/>
        </w:rPr>
        <w:t>决定的结果是其就股票价格、股票指数、利率、汇率或其他价格等在从</w:t>
      </w:r>
      <w:r>
        <w:rPr>
          <w:rFonts w:eastAsia="楷体_GB2312"/>
          <w:b/>
          <w:bCs/>
          <w:sz w:val="24"/>
        </w:rPr>
        <w:t>提前终止日</w:t>
      </w:r>
      <w:r>
        <w:rPr>
          <w:rFonts w:eastAsia="楷体_GB2312"/>
          <w:sz w:val="24"/>
        </w:rPr>
        <w:t>至</w:t>
      </w:r>
      <w:r>
        <w:rPr>
          <w:rFonts w:eastAsia="楷体_GB2312"/>
          <w:b/>
          <w:bCs/>
          <w:sz w:val="24"/>
        </w:rPr>
        <w:t>决定日</w:t>
      </w:r>
      <w:r>
        <w:rPr>
          <w:rFonts w:eastAsia="楷体_GB2312"/>
          <w:sz w:val="24"/>
        </w:rPr>
        <w:t>之间所发生的变动而得到收益，该等收益的数目应被从根据</w:t>
      </w:r>
      <w:r>
        <w:rPr>
          <w:rFonts w:eastAsia="楷体_GB2312"/>
          <w:b/>
          <w:sz w:val="24"/>
        </w:rPr>
        <w:t>主协议</w:t>
      </w:r>
      <w:r>
        <w:rPr>
          <w:rFonts w:eastAsia="楷体_GB2312"/>
          <w:sz w:val="24"/>
        </w:rPr>
        <w:t>第5.2条得出的</w:t>
      </w:r>
      <w:r>
        <w:rPr>
          <w:rFonts w:eastAsia="楷体_GB2312"/>
          <w:b/>
          <w:bCs/>
          <w:sz w:val="24"/>
        </w:rPr>
        <w:t>提前终止款项</w:t>
      </w:r>
      <w:r>
        <w:rPr>
          <w:rFonts w:eastAsia="楷体_GB2312"/>
          <w:sz w:val="24"/>
        </w:rPr>
        <w:t>扣除。</w:t>
      </w:r>
    </w:p>
    <w:p w14:paraId="66F64701">
      <w:pPr>
        <w:spacing w:before="312" w:beforeLines="100"/>
        <w:ind w:firstLine="482" w:firstLineChars="200"/>
        <w:jc w:val="left"/>
        <w:rPr>
          <w:rFonts w:eastAsia="楷体_GB2312"/>
          <w:sz w:val="24"/>
        </w:rPr>
      </w:pPr>
      <w:r>
        <w:rPr>
          <w:rFonts w:eastAsia="楷体_GB2312"/>
          <w:b/>
          <w:bCs/>
          <w:color w:val="000000"/>
          <w:sz w:val="24"/>
        </w:rPr>
        <w:t>决定日</w:t>
      </w:r>
      <w:r>
        <w:rPr>
          <w:rFonts w:eastAsia="楷体_GB2312"/>
          <w:color w:val="000000"/>
          <w:sz w:val="24"/>
        </w:rPr>
        <w:t>应当不迟于</w:t>
      </w:r>
      <w:r>
        <w:rPr>
          <w:rFonts w:eastAsia="楷体_GB2312"/>
          <w:b/>
          <w:bCs/>
          <w:color w:val="000000"/>
          <w:sz w:val="24"/>
        </w:rPr>
        <w:t>违约方</w:t>
      </w:r>
      <w:r>
        <w:rPr>
          <w:rFonts w:eastAsia="楷体_GB2312"/>
          <w:color w:val="000000"/>
          <w:sz w:val="24"/>
        </w:rPr>
        <w:t>的债权人在总体上被告知已经发生了一项导致</w:t>
      </w:r>
      <w:r>
        <w:rPr>
          <w:rFonts w:eastAsia="楷体_GB2312"/>
          <w:b/>
          <w:bCs/>
          <w:color w:val="000000"/>
          <w:sz w:val="24"/>
        </w:rPr>
        <w:t>提前终止日</w:t>
      </w:r>
      <w:r>
        <w:rPr>
          <w:rFonts w:eastAsia="楷体_GB2312"/>
          <w:color w:val="000000"/>
          <w:sz w:val="24"/>
        </w:rPr>
        <w:t>的</w:t>
      </w:r>
      <w:r>
        <w:rPr>
          <w:rFonts w:eastAsia="楷体_GB2312"/>
          <w:b/>
          <w:bCs/>
          <w:color w:val="000000"/>
          <w:sz w:val="24"/>
        </w:rPr>
        <w:t>违约事件</w:t>
      </w:r>
      <w:r>
        <w:rPr>
          <w:rFonts w:eastAsia="楷体_GB2312"/>
          <w:color w:val="000000"/>
          <w:sz w:val="24"/>
        </w:rPr>
        <w:t>之日。</w:t>
      </w:r>
    </w:p>
    <w:p w14:paraId="3D92F9FE">
      <w:pPr>
        <w:spacing w:before="312" w:beforeLines="100"/>
        <w:ind w:firstLine="482"/>
        <w:jc w:val="left"/>
        <w:rPr>
          <w:rFonts w:eastAsia="楷体_GB2312"/>
          <w:sz w:val="24"/>
        </w:rPr>
      </w:pPr>
      <w:r>
        <w:rPr>
          <w:rFonts w:hint="eastAsia" w:eastAsia="楷体_GB2312"/>
          <w:b/>
          <w:sz w:val="24"/>
        </w:rPr>
        <w:t>4、主协议</w:t>
      </w:r>
      <w:r>
        <w:rPr>
          <w:rFonts w:hint="eastAsia" w:eastAsia="楷体_GB2312"/>
          <w:sz w:val="24"/>
        </w:rPr>
        <w:t>第6.2条中的</w:t>
      </w:r>
      <w:r>
        <w:rPr>
          <w:rFonts w:eastAsia="楷体_GB2312"/>
          <w:sz w:val="24"/>
        </w:rPr>
        <w:t>“</w:t>
      </w:r>
      <w:r>
        <w:rPr>
          <w:rFonts w:hint="eastAsia" w:eastAsia="楷体_GB2312"/>
          <w:b/>
          <w:sz w:val="24"/>
        </w:rPr>
        <w:t>因合并造成的资信降低</w:t>
      </w:r>
      <w:r>
        <w:rPr>
          <w:rFonts w:eastAsia="楷体_GB2312"/>
          <w:sz w:val="24"/>
        </w:rPr>
        <w:t>”</w:t>
      </w:r>
      <w:r>
        <w:rPr>
          <w:rFonts w:hint="eastAsia" w:eastAsia="楷体_GB2312"/>
          <w:sz w:val="24"/>
        </w:rPr>
        <w:t>：</w:t>
      </w:r>
    </w:p>
    <w:p w14:paraId="4266CB82">
      <w:pPr>
        <w:spacing w:before="312" w:beforeLines="100"/>
        <w:ind w:firstLine="480" w:firstLineChars="200"/>
        <w:jc w:val="left"/>
        <w:rPr>
          <w:rFonts w:eastAsia="楷体_GB2312"/>
          <w:sz w:val="24"/>
        </w:rPr>
      </w:pPr>
      <w:r>
        <w:rPr>
          <w:rFonts w:hint="eastAsia" w:eastAsia="楷体_GB2312"/>
          <w:sz w:val="24"/>
        </w:rPr>
        <w:t>【是】适用于甲方；</w:t>
      </w:r>
    </w:p>
    <w:p w14:paraId="75A8762B">
      <w:pPr>
        <w:spacing w:before="312" w:beforeLines="100"/>
        <w:ind w:firstLine="480" w:firstLineChars="200"/>
        <w:jc w:val="left"/>
        <w:rPr>
          <w:rFonts w:eastAsia="楷体_GB2312"/>
          <w:sz w:val="24"/>
        </w:rPr>
      </w:pPr>
      <w:r>
        <w:rPr>
          <w:rFonts w:hint="eastAsia" w:eastAsia="楷体_GB2312"/>
          <w:sz w:val="24"/>
        </w:rPr>
        <w:t>【是】适用于乙方；</w:t>
      </w:r>
    </w:p>
    <w:p w14:paraId="6F393D72">
      <w:pPr>
        <w:spacing w:before="312" w:beforeLines="100"/>
        <w:ind w:firstLine="480" w:firstLineChars="200"/>
        <w:jc w:val="left"/>
        <w:rPr>
          <w:rFonts w:ascii="楷体" w:hAnsi="楷体" w:eastAsia="楷体"/>
          <w:sz w:val="24"/>
        </w:rPr>
      </w:pPr>
      <w:r>
        <w:rPr>
          <w:rFonts w:hint="eastAsia" w:ascii="楷体" w:hAnsi="楷体" w:eastAsia="楷体"/>
          <w:sz w:val="24"/>
        </w:rPr>
        <w:t>若适用，</w:t>
      </w:r>
      <w:r>
        <w:rPr>
          <w:rFonts w:ascii="楷体" w:hAnsi="楷体" w:eastAsia="楷体"/>
          <w:sz w:val="24"/>
        </w:rPr>
        <w:t>“</w:t>
      </w:r>
      <w:r>
        <w:rPr>
          <w:rFonts w:hint="eastAsia" w:ascii="楷体" w:hAnsi="楷体" w:eastAsia="楷体"/>
          <w:b/>
          <w:sz w:val="24"/>
        </w:rPr>
        <w:t>因合并造成的资信降低</w:t>
      </w:r>
      <w:r>
        <w:rPr>
          <w:rFonts w:ascii="楷体" w:hAnsi="楷体" w:eastAsia="楷体"/>
          <w:sz w:val="24"/>
        </w:rPr>
        <w:t>”</w:t>
      </w:r>
      <w:r>
        <w:rPr>
          <w:rFonts w:hint="eastAsia" w:ascii="楷体" w:hAnsi="楷体" w:eastAsia="楷体"/>
          <w:sz w:val="24"/>
        </w:rPr>
        <w:t>中的</w:t>
      </w:r>
      <w:r>
        <w:rPr>
          <w:rFonts w:hint="cs" w:ascii="楷体" w:hAnsi="楷体" w:eastAsia="楷体"/>
          <w:sz w:val="24"/>
        </w:rPr>
        <w:t>“</w:t>
      </w:r>
      <w:r>
        <w:rPr>
          <w:rFonts w:hint="eastAsia" w:ascii="楷体" w:hAnsi="楷体" w:eastAsia="楷体"/>
          <w:b/>
          <w:sz w:val="24"/>
        </w:rPr>
        <w:t>合并事件</w:t>
      </w:r>
      <w:r>
        <w:rPr>
          <w:rFonts w:hint="cs" w:ascii="楷体" w:hAnsi="楷体" w:eastAsia="楷体"/>
          <w:b/>
          <w:sz w:val="24"/>
        </w:rPr>
        <w:t>”</w:t>
      </w:r>
      <w:r>
        <w:rPr>
          <w:rFonts w:hint="eastAsia" w:ascii="楷体" w:hAnsi="楷体" w:eastAsia="楷体"/>
          <w:sz w:val="24"/>
        </w:rPr>
        <w:t>包括下述情形：</w:t>
      </w:r>
    </w:p>
    <w:p w14:paraId="58994165">
      <w:pPr>
        <w:spacing w:before="312" w:beforeLines="100"/>
        <w:ind w:firstLine="480" w:firstLineChars="200"/>
        <w:jc w:val="left"/>
        <w:rPr>
          <w:rFonts w:ascii="楷体" w:hAnsi="楷体" w:eastAsia="楷体"/>
          <w:sz w:val="24"/>
        </w:rPr>
      </w:pPr>
      <w:r>
        <w:rPr>
          <w:rFonts w:hint="eastAsia" w:ascii="楷体" w:hAnsi="楷体" w:eastAsia="楷体" w:cs="仿宋_GB2312"/>
          <w:color w:val="000000"/>
          <w:sz w:val="24"/>
        </w:rPr>
        <w:t>就</w:t>
      </w:r>
      <w:r>
        <w:rPr>
          <w:rFonts w:hint="eastAsia" w:ascii="楷体" w:hAnsi="楷体" w:eastAsia="楷体" w:cs="仿宋_GB2312"/>
          <w:b/>
          <w:color w:val="000000"/>
          <w:sz w:val="24"/>
        </w:rPr>
        <w:t>交易一方</w:t>
      </w:r>
      <w:r>
        <w:rPr>
          <w:rFonts w:hint="eastAsia" w:ascii="楷体" w:hAnsi="楷体" w:eastAsia="楷体" w:cs="仿宋_GB2312"/>
          <w:color w:val="000000"/>
          <w:sz w:val="24"/>
        </w:rPr>
        <w:t>而言，</w:t>
      </w:r>
    </w:p>
    <w:p w14:paraId="59FE0224">
      <w:pPr>
        <w:autoSpaceDE w:val="0"/>
        <w:autoSpaceDN w:val="0"/>
        <w:adjustRightInd w:val="0"/>
        <w:spacing w:before="93" w:beforeLines="30" w:after="93" w:afterLines="30"/>
        <w:ind w:firstLine="480" w:firstLineChars="200"/>
        <w:rPr>
          <w:rFonts w:ascii="楷体" w:hAnsi="楷体" w:eastAsia="楷体" w:cs="仿宋_GB2312"/>
          <w:color w:val="000000"/>
          <w:sz w:val="24"/>
        </w:rPr>
      </w:pPr>
      <w:r>
        <w:rPr>
          <w:rFonts w:hint="eastAsia" w:ascii="楷体" w:hAnsi="楷体" w:eastAsia="楷体" w:cs="宋体"/>
          <w:bCs/>
          <w:color w:val="000000"/>
          <w:kern w:val="20"/>
          <w:sz w:val="24"/>
        </w:rPr>
        <w:t>（</w:t>
      </w:r>
      <w:r>
        <w:rPr>
          <w:rFonts w:ascii="楷体" w:hAnsi="楷体" w:eastAsia="楷体" w:cs="宋体"/>
          <w:bCs/>
          <w:color w:val="000000"/>
          <w:kern w:val="20"/>
          <w:sz w:val="24"/>
        </w:rPr>
        <w:t>1）</w:t>
      </w:r>
      <w:r>
        <w:rPr>
          <w:rFonts w:hint="eastAsia" w:ascii="楷体" w:hAnsi="楷体" w:eastAsia="楷体" w:cs="宋体"/>
          <w:bCs/>
          <w:color w:val="000000"/>
          <w:kern w:val="20"/>
          <w:sz w:val="24"/>
        </w:rPr>
        <w:t>该方、其</w:t>
      </w:r>
      <w:r>
        <w:rPr>
          <w:rFonts w:hint="eastAsia" w:ascii="楷体" w:hAnsi="楷体" w:eastAsia="楷体" w:cs="宋体"/>
          <w:b/>
          <w:bCs/>
          <w:color w:val="000000"/>
          <w:kern w:val="20"/>
          <w:sz w:val="24"/>
        </w:rPr>
        <w:t>履约保障提供者</w:t>
      </w:r>
      <w:r>
        <w:rPr>
          <w:rFonts w:hint="eastAsia" w:ascii="楷体" w:hAnsi="楷体" w:eastAsia="楷体" w:cs="宋体"/>
          <w:bCs/>
          <w:color w:val="000000"/>
          <w:kern w:val="20"/>
          <w:sz w:val="24"/>
        </w:rPr>
        <w:t>或其为本款目的而指定的任何</w:t>
      </w:r>
      <w:r>
        <w:rPr>
          <w:rFonts w:hint="eastAsia" w:ascii="楷体" w:hAnsi="楷体" w:eastAsia="楷体" w:cs="宋体"/>
          <w:b/>
          <w:bCs/>
          <w:color w:val="000000"/>
          <w:kern w:val="20"/>
          <w:sz w:val="24"/>
        </w:rPr>
        <w:t>特定实体</w:t>
      </w:r>
      <w:r>
        <w:rPr>
          <w:rFonts w:hint="eastAsia" w:ascii="楷体" w:hAnsi="楷体" w:eastAsia="楷体" w:cs="宋体"/>
          <w:bCs/>
          <w:color w:val="000000"/>
          <w:kern w:val="20"/>
          <w:sz w:val="24"/>
        </w:rPr>
        <w:t>发生分立、或与另一实体发生了联合、合并或兼并，或把自身的全部或大部分的资产转移到另一实体，或经重组、重设或改制纳入到另一实体或成为另一实体，或发生其他类似具有合并效果的事件</w:t>
      </w:r>
      <w:r>
        <w:rPr>
          <w:rFonts w:hint="eastAsia" w:ascii="楷体" w:hAnsi="楷体" w:eastAsia="楷体" w:cs="仿宋_GB2312"/>
          <w:color w:val="000000"/>
          <w:sz w:val="24"/>
        </w:rPr>
        <w:t>；</w:t>
      </w:r>
    </w:p>
    <w:p w14:paraId="0A41A171">
      <w:pPr>
        <w:spacing w:before="312" w:beforeLines="100" w:after="93" w:afterLines="30"/>
        <w:ind w:firstLine="480" w:firstLineChars="200"/>
        <w:rPr>
          <w:rFonts w:ascii="楷体" w:hAnsi="楷体" w:eastAsia="楷体"/>
          <w:bCs/>
          <w:kern w:val="20"/>
          <w:sz w:val="24"/>
        </w:rPr>
      </w:pPr>
      <w:r>
        <w:rPr>
          <w:rFonts w:hint="eastAsia" w:ascii="楷体" w:hAnsi="楷体" w:eastAsia="楷体"/>
          <w:bCs/>
          <w:kern w:val="20"/>
          <w:sz w:val="24"/>
        </w:rPr>
        <w:t>（</w:t>
      </w:r>
      <w:r>
        <w:rPr>
          <w:rFonts w:ascii="楷体" w:hAnsi="楷体" w:eastAsia="楷体"/>
          <w:bCs/>
          <w:kern w:val="20"/>
          <w:sz w:val="24"/>
        </w:rPr>
        <w:t>2）任何人、任何相关团体或实体直接或间接地获得了：（a）有权选举该方、其</w:t>
      </w:r>
      <w:r>
        <w:rPr>
          <w:rFonts w:hint="eastAsia" w:ascii="楷体" w:hAnsi="楷体" w:eastAsia="楷体"/>
          <w:b/>
          <w:bCs/>
          <w:kern w:val="20"/>
          <w:sz w:val="24"/>
        </w:rPr>
        <w:t>履约保障</w:t>
      </w:r>
      <w:r>
        <w:rPr>
          <w:rFonts w:ascii="楷体" w:hAnsi="楷体" w:eastAsia="楷体"/>
          <w:b/>
          <w:bCs/>
          <w:kern w:val="20"/>
          <w:sz w:val="24"/>
        </w:rPr>
        <w:t>提供者</w:t>
      </w:r>
      <w:r>
        <w:rPr>
          <w:rFonts w:ascii="楷体" w:hAnsi="楷体" w:eastAsia="楷体"/>
          <w:bCs/>
          <w:kern w:val="20"/>
          <w:sz w:val="24"/>
        </w:rPr>
        <w:t>或其为本款目的而指定的任何</w:t>
      </w:r>
      <w:r>
        <w:rPr>
          <w:rFonts w:ascii="楷体" w:hAnsi="楷体" w:eastAsia="楷体"/>
          <w:b/>
          <w:bCs/>
          <w:kern w:val="20"/>
          <w:sz w:val="24"/>
        </w:rPr>
        <w:t>特定实体</w:t>
      </w:r>
      <w:r>
        <w:rPr>
          <w:rFonts w:ascii="楷体" w:hAnsi="楷体" w:eastAsia="楷体"/>
          <w:bCs/>
          <w:kern w:val="20"/>
          <w:sz w:val="24"/>
        </w:rPr>
        <w:t>的董事会（或同等</w:t>
      </w:r>
      <w:r>
        <w:rPr>
          <w:rFonts w:hint="eastAsia" w:ascii="楷体" w:hAnsi="楷体" w:eastAsia="楷体"/>
          <w:bCs/>
          <w:kern w:val="20"/>
          <w:sz w:val="24"/>
        </w:rPr>
        <w:t>权力</w:t>
      </w:r>
      <w:r>
        <w:rPr>
          <w:rFonts w:ascii="楷体" w:hAnsi="楷体" w:eastAsia="楷体"/>
          <w:bCs/>
          <w:kern w:val="20"/>
          <w:sz w:val="24"/>
        </w:rPr>
        <w:t>机构）的大多数成员的股票</w:t>
      </w:r>
      <w:r>
        <w:rPr>
          <w:rFonts w:hint="eastAsia" w:ascii="楷体" w:hAnsi="楷体" w:eastAsia="楷体"/>
          <w:bCs/>
          <w:kern w:val="20"/>
          <w:sz w:val="24"/>
        </w:rPr>
        <w:t>的受益权</w:t>
      </w:r>
      <w:r>
        <w:rPr>
          <w:rFonts w:ascii="楷体" w:hAnsi="楷体" w:eastAsia="楷体"/>
          <w:bCs/>
          <w:kern w:val="20"/>
          <w:sz w:val="24"/>
        </w:rPr>
        <w:t>；或</w:t>
      </w:r>
      <w:r>
        <w:rPr>
          <w:rFonts w:hint="eastAsia" w:ascii="楷体" w:hAnsi="楷体" w:eastAsia="楷体"/>
          <w:bCs/>
          <w:kern w:val="20"/>
          <w:sz w:val="24"/>
        </w:rPr>
        <w:t>（</w:t>
      </w:r>
      <w:r>
        <w:rPr>
          <w:rFonts w:ascii="楷体" w:hAnsi="楷体" w:eastAsia="楷体"/>
          <w:bCs/>
          <w:kern w:val="20"/>
          <w:sz w:val="24"/>
        </w:rPr>
        <w:t>b</w:t>
      </w:r>
      <w:r>
        <w:rPr>
          <w:rFonts w:hint="eastAsia" w:ascii="楷体" w:hAnsi="楷体" w:eastAsia="楷体"/>
          <w:bCs/>
          <w:kern w:val="20"/>
          <w:sz w:val="24"/>
        </w:rPr>
        <w:t>）使其能对</w:t>
      </w:r>
      <w:r>
        <w:rPr>
          <w:rFonts w:ascii="楷体" w:hAnsi="楷体" w:eastAsia="楷体"/>
          <w:bCs/>
          <w:kern w:val="20"/>
          <w:sz w:val="24"/>
        </w:rPr>
        <w:t>该方、其</w:t>
      </w:r>
      <w:r>
        <w:rPr>
          <w:rFonts w:hint="eastAsia" w:ascii="楷体" w:hAnsi="楷体" w:eastAsia="楷体"/>
          <w:b/>
          <w:bCs/>
          <w:kern w:val="20"/>
          <w:sz w:val="24"/>
        </w:rPr>
        <w:t>履约保障</w:t>
      </w:r>
      <w:r>
        <w:rPr>
          <w:rFonts w:ascii="楷体" w:hAnsi="楷体" w:eastAsia="楷体"/>
          <w:b/>
          <w:bCs/>
          <w:kern w:val="20"/>
          <w:sz w:val="24"/>
        </w:rPr>
        <w:t>提供者</w:t>
      </w:r>
      <w:r>
        <w:rPr>
          <w:rFonts w:ascii="楷体" w:hAnsi="楷体" w:eastAsia="楷体"/>
          <w:bCs/>
          <w:kern w:val="20"/>
          <w:sz w:val="24"/>
        </w:rPr>
        <w:t>或其为本款目的而指定的任何</w:t>
      </w:r>
      <w:r>
        <w:rPr>
          <w:rFonts w:ascii="楷体" w:hAnsi="楷体" w:eastAsia="楷体"/>
          <w:b/>
          <w:bCs/>
          <w:kern w:val="20"/>
          <w:sz w:val="24"/>
        </w:rPr>
        <w:t>特定实体</w:t>
      </w:r>
      <w:r>
        <w:rPr>
          <w:rFonts w:hint="eastAsia" w:ascii="楷体" w:hAnsi="楷体" w:eastAsia="楷体"/>
          <w:bCs/>
          <w:kern w:val="20"/>
          <w:sz w:val="24"/>
        </w:rPr>
        <w:t>实施控制的任何其他类型的所有者权益的受益权；或</w:t>
      </w:r>
    </w:p>
    <w:p w14:paraId="217E9E2C">
      <w:pPr>
        <w:spacing w:before="312" w:beforeLines="100"/>
        <w:ind w:firstLine="480" w:firstLineChars="200"/>
        <w:jc w:val="left"/>
        <w:rPr>
          <w:rFonts w:ascii="楷体" w:hAnsi="楷体" w:eastAsia="楷体"/>
          <w:bCs/>
          <w:kern w:val="20"/>
          <w:sz w:val="24"/>
        </w:rPr>
      </w:pPr>
      <w:r>
        <w:rPr>
          <w:rFonts w:hint="eastAsia" w:ascii="楷体" w:hAnsi="楷体" w:eastAsia="楷体"/>
          <w:bCs/>
          <w:kern w:val="20"/>
          <w:sz w:val="24"/>
        </w:rPr>
        <w:t>（</w:t>
      </w:r>
      <w:r>
        <w:rPr>
          <w:rFonts w:ascii="楷体" w:hAnsi="楷体" w:eastAsia="楷体"/>
          <w:bCs/>
          <w:kern w:val="20"/>
          <w:sz w:val="24"/>
        </w:rPr>
        <w:t>3）该方、其</w:t>
      </w:r>
      <w:r>
        <w:rPr>
          <w:rFonts w:hint="eastAsia" w:ascii="楷体" w:hAnsi="楷体" w:eastAsia="楷体"/>
          <w:b/>
          <w:bCs/>
          <w:kern w:val="20"/>
          <w:sz w:val="24"/>
        </w:rPr>
        <w:t>履约保障</w:t>
      </w:r>
      <w:r>
        <w:rPr>
          <w:rFonts w:ascii="楷体" w:hAnsi="楷体" w:eastAsia="楷体"/>
          <w:b/>
          <w:bCs/>
          <w:kern w:val="20"/>
          <w:sz w:val="24"/>
        </w:rPr>
        <w:t>提供者</w:t>
      </w:r>
      <w:r>
        <w:rPr>
          <w:rFonts w:ascii="楷体" w:hAnsi="楷体" w:eastAsia="楷体"/>
          <w:bCs/>
          <w:kern w:val="20"/>
          <w:sz w:val="24"/>
        </w:rPr>
        <w:t>或其为本款目的而指定的任何</w:t>
      </w:r>
      <w:r>
        <w:rPr>
          <w:rFonts w:ascii="楷体" w:hAnsi="楷体" w:eastAsia="楷体"/>
          <w:b/>
          <w:bCs/>
          <w:kern w:val="20"/>
          <w:sz w:val="24"/>
        </w:rPr>
        <w:t>特定实体</w:t>
      </w:r>
      <w:r>
        <w:rPr>
          <w:rFonts w:hint="eastAsia" w:ascii="楷体" w:hAnsi="楷体" w:eastAsia="楷体"/>
          <w:bCs/>
          <w:kern w:val="20"/>
          <w:sz w:val="24"/>
        </w:rPr>
        <w:t>通过发行或承担债务的方式或为债务提供担保的方式，使得自身的股本结构发生显著变化；</w:t>
      </w:r>
      <w:r>
        <w:rPr>
          <w:rFonts w:ascii="楷体" w:hAnsi="楷体" w:eastAsia="楷体"/>
          <w:bCs/>
          <w:kern w:val="20"/>
          <w:sz w:val="24"/>
        </w:rPr>
        <w:t>或</w:t>
      </w:r>
      <w:r>
        <w:rPr>
          <w:rFonts w:hint="eastAsia" w:ascii="楷体" w:hAnsi="楷体" w:eastAsia="楷体"/>
          <w:bCs/>
          <w:kern w:val="20"/>
          <w:sz w:val="24"/>
        </w:rPr>
        <w:t>（</w:t>
      </w:r>
      <w:r>
        <w:rPr>
          <w:rFonts w:ascii="楷体" w:hAnsi="楷体" w:eastAsia="楷体"/>
          <w:bCs/>
          <w:kern w:val="20"/>
          <w:sz w:val="24"/>
        </w:rPr>
        <w:t>a</w:t>
      </w:r>
      <w:r>
        <w:rPr>
          <w:rFonts w:hint="eastAsia" w:ascii="楷体" w:hAnsi="楷体" w:eastAsia="楷体"/>
          <w:bCs/>
          <w:kern w:val="20"/>
          <w:sz w:val="24"/>
        </w:rPr>
        <w:t>）</w:t>
      </w:r>
      <w:r>
        <w:rPr>
          <w:rFonts w:ascii="楷体" w:hAnsi="楷体" w:eastAsia="楷体"/>
          <w:bCs/>
          <w:kern w:val="20"/>
          <w:sz w:val="24"/>
        </w:rPr>
        <w:t>通过发行优先股或者发行可转换成或交换为债务或优先股的其它证券的方式，或</w:t>
      </w:r>
      <w:r>
        <w:rPr>
          <w:rFonts w:hint="eastAsia" w:ascii="楷体" w:hAnsi="楷体" w:eastAsia="楷体"/>
          <w:bCs/>
          <w:kern w:val="20"/>
          <w:sz w:val="24"/>
        </w:rPr>
        <w:t>（</w:t>
      </w:r>
      <w:r>
        <w:rPr>
          <w:rFonts w:ascii="楷体" w:hAnsi="楷体" w:eastAsia="楷体"/>
          <w:bCs/>
          <w:kern w:val="20"/>
          <w:sz w:val="24"/>
        </w:rPr>
        <w:t>b</w:t>
      </w:r>
      <w:r>
        <w:rPr>
          <w:rFonts w:hint="eastAsia" w:ascii="楷体" w:hAnsi="楷体" w:eastAsia="楷体"/>
          <w:bCs/>
          <w:kern w:val="20"/>
          <w:sz w:val="24"/>
        </w:rPr>
        <w:t>）（如</w:t>
      </w:r>
      <w:r>
        <w:rPr>
          <w:rFonts w:ascii="楷体" w:hAnsi="楷体" w:eastAsia="楷体"/>
          <w:bCs/>
          <w:kern w:val="20"/>
          <w:sz w:val="24"/>
        </w:rPr>
        <w:t>该方、其</w:t>
      </w:r>
      <w:r>
        <w:rPr>
          <w:rFonts w:hint="eastAsia" w:ascii="楷体" w:hAnsi="楷体" w:eastAsia="楷体"/>
          <w:b/>
          <w:bCs/>
          <w:kern w:val="20"/>
          <w:sz w:val="24"/>
        </w:rPr>
        <w:t>履约保障</w:t>
      </w:r>
      <w:r>
        <w:rPr>
          <w:rFonts w:ascii="楷体" w:hAnsi="楷体" w:eastAsia="楷体"/>
          <w:b/>
          <w:bCs/>
          <w:kern w:val="20"/>
          <w:sz w:val="24"/>
        </w:rPr>
        <w:t>提供者</w:t>
      </w:r>
      <w:r>
        <w:rPr>
          <w:rFonts w:ascii="楷体" w:hAnsi="楷体" w:eastAsia="楷体"/>
          <w:bCs/>
          <w:kern w:val="20"/>
          <w:sz w:val="24"/>
        </w:rPr>
        <w:t>或其为本款目的而指定的任何</w:t>
      </w:r>
      <w:r>
        <w:rPr>
          <w:rFonts w:ascii="楷体" w:hAnsi="楷体" w:eastAsia="楷体"/>
          <w:b/>
          <w:bCs/>
          <w:kern w:val="20"/>
          <w:sz w:val="24"/>
        </w:rPr>
        <w:t>特定实体</w:t>
      </w:r>
      <w:r>
        <w:rPr>
          <w:rFonts w:hint="eastAsia" w:ascii="楷体" w:hAnsi="楷体" w:eastAsia="楷体"/>
          <w:bCs/>
          <w:kern w:val="20"/>
          <w:sz w:val="24"/>
        </w:rPr>
        <w:t>的组织形式并非采用公司形式）</w:t>
      </w:r>
      <w:r>
        <w:rPr>
          <w:rFonts w:ascii="楷体" w:hAnsi="楷体" w:eastAsia="楷体"/>
          <w:bCs/>
          <w:kern w:val="20"/>
          <w:sz w:val="24"/>
        </w:rPr>
        <w:t>通</w:t>
      </w:r>
      <w:r>
        <w:rPr>
          <w:rFonts w:hint="eastAsia" w:ascii="楷体" w:hAnsi="楷体" w:eastAsia="楷体"/>
          <w:bCs/>
          <w:kern w:val="20"/>
          <w:sz w:val="24"/>
        </w:rPr>
        <w:t>过发行任何其他形式的所有者权益的方式，使得自身的股本结构发生显著变化。</w:t>
      </w:r>
    </w:p>
    <w:p w14:paraId="099A05A0">
      <w:pPr>
        <w:spacing w:before="312" w:beforeLines="100"/>
        <w:ind w:firstLine="480" w:firstLineChars="200"/>
        <w:jc w:val="left"/>
        <w:rPr>
          <w:rFonts w:ascii="楷体" w:hAnsi="楷体" w:eastAsia="楷体"/>
          <w:sz w:val="24"/>
        </w:rPr>
      </w:pPr>
      <w:r>
        <w:rPr>
          <w:rFonts w:hint="eastAsia" w:ascii="楷体" w:hAnsi="楷体" w:eastAsia="楷体"/>
          <w:sz w:val="24"/>
        </w:rPr>
        <w:t>就</w:t>
      </w:r>
      <w:r>
        <w:rPr>
          <w:rFonts w:hint="eastAsia" w:ascii="楷体" w:hAnsi="楷体" w:eastAsia="楷体"/>
          <w:b/>
          <w:sz w:val="24"/>
        </w:rPr>
        <w:t>主协议</w:t>
      </w:r>
      <w:r>
        <w:rPr>
          <w:rFonts w:hint="eastAsia" w:ascii="楷体" w:hAnsi="楷体" w:eastAsia="楷体"/>
          <w:sz w:val="24"/>
        </w:rPr>
        <w:t>第</w:t>
      </w:r>
      <w:r>
        <w:rPr>
          <w:rFonts w:ascii="楷体" w:hAnsi="楷体" w:eastAsia="楷体"/>
          <w:sz w:val="24"/>
        </w:rPr>
        <w:t>6.2</w:t>
      </w:r>
      <w:r>
        <w:rPr>
          <w:rFonts w:hint="eastAsia" w:ascii="楷体" w:hAnsi="楷体" w:eastAsia="楷体"/>
          <w:sz w:val="24"/>
        </w:rPr>
        <w:t>条</w:t>
      </w:r>
      <w:r>
        <w:rPr>
          <w:rFonts w:ascii="楷体" w:hAnsi="楷体" w:eastAsia="楷体"/>
          <w:sz w:val="24"/>
        </w:rPr>
        <w:t>“</w:t>
      </w:r>
      <w:r>
        <w:rPr>
          <w:rFonts w:hint="eastAsia" w:ascii="楷体" w:hAnsi="楷体" w:eastAsia="楷体"/>
          <w:b/>
          <w:sz w:val="24"/>
        </w:rPr>
        <w:t>因合并造成的资信降低</w:t>
      </w:r>
      <w:r>
        <w:rPr>
          <w:rFonts w:ascii="楷体" w:hAnsi="楷体" w:eastAsia="楷体"/>
          <w:sz w:val="24"/>
        </w:rPr>
        <w:t>”</w:t>
      </w:r>
      <w:r>
        <w:rPr>
          <w:rFonts w:hint="eastAsia" w:ascii="楷体" w:hAnsi="楷体" w:eastAsia="楷体"/>
          <w:sz w:val="24"/>
        </w:rPr>
        <w:t>而言，为避免疑义：</w:t>
      </w:r>
      <w:r>
        <w:rPr>
          <w:rFonts w:ascii="楷体" w:hAnsi="楷体" w:eastAsia="楷体"/>
          <w:sz w:val="24"/>
        </w:rPr>
        <w:t>“</w:t>
      </w:r>
      <w:r>
        <w:rPr>
          <w:rFonts w:hint="eastAsia" w:ascii="楷体" w:hAnsi="楷体" w:eastAsia="楷体"/>
          <w:sz w:val="24"/>
        </w:rPr>
        <w:t>严重降低</w:t>
      </w:r>
      <w:r>
        <w:rPr>
          <w:rFonts w:ascii="楷体" w:hAnsi="楷体" w:eastAsia="楷体"/>
          <w:sz w:val="24"/>
        </w:rPr>
        <w:t>”</w:t>
      </w:r>
      <w:r>
        <w:rPr>
          <w:rFonts w:hint="eastAsia" w:ascii="楷体" w:hAnsi="楷体" w:eastAsia="楷体"/>
          <w:sz w:val="24"/>
        </w:rPr>
        <w:t>指：</w:t>
      </w:r>
    </w:p>
    <w:p w14:paraId="2DB18389">
      <w:pPr>
        <w:spacing w:before="312" w:beforeLines="100"/>
        <w:ind w:firstLine="480" w:firstLineChars="200"/>
        <w:jc w:val="left"/>
        <w:rPr>
          <w:rFonts w:ascii="楷体" w:hAnsi="楷体" w:eastAsia="楷体"/>
          <w:sz w:val="24"/>
        </w:rPr>
      </w:pPr>
      <w:r>
        <w:rPr>
          <w:rFonts w:hint="eastAsia" w:ascii="楷体" w:hAnsi="楷体" w:eastAsia="楷体"/>
          <w:sz w:val="24"/>
        </w:rPr>
        <w:t>（</w:t>
      </w:r>
      <w:r>
        <w:rPr>
          <w:rFonts w:ascii="楷体" w:hAnsi="楷体" w:eastAsia="楷体"/>
          <w:sz w:val="24"/>
        </w:rPr>
        <w:t>1</w:t>
      </w:r>
      <w:r>
        <w:rPr>
          <w:rFonts w:hint="eastAsia" w:ascii="楷体" w:hAnsi="楷体" w:eastAsia="楷体"/>
          <w:sz w:val="24"/>
        </w:rPr>
        <w:t>）如双方均具有标准普尔、穆迪等国际信用评级公司的信用评级（如一方具有两个或两个以上国际信用评级公司的信用评级，则应以该方最低的信用评级为准），则</w:t>
      </w:r>
      <w:r>
        <w:rPr>
          <w:rFonts w:ascii="楷体" w:hAnsi="楷体" w:eastAsia="楷体"/>
          <w:sz w:val="24"/>
        </w:rPr>
        <w:t>“</w:t>
      </w:r>
      <w:r>
        <w:rPr>
          <w:rFonts w:hint="eastAsia" w:ascii="楷体" w:hAnsi="楷体" w:eastAsia="楷体"/>
          <w:sz w:val="24"/>
        </w:rPr>
        <w:t>严重降低</w:t>
      </w:r>
      <w:r>
        <w:rPr>
          <w:rFonts w:ascii="楷体" w:hAnsi="楷体" w:eastAsia="楷体"/>
          <w:sz w:val="24"/>
        </w:rPr>
        <w:t>”</w:t>
      </w:r>
      <w:r>
        <w:rPr>
          <w:rFonts w:hint="eastAsia" w:ascii="楷体" w:hAnsi="楷体" w:eastAsia="楷体"/>
          <w:sz w:val="24"/>
        </w:rPr>
        <w:t>将按以下标准衡量：一方（或其最终存续、承继或受让的实体）在该合并事件发生后的长期次级贷款评级或长期银行存款评级较该合并事件即将发生时的评级而言连续下降两个评级（该长期次级贷款评级应排除公共信息评级）。如一方没有上述特定的信用评级，则一方将以其总公司或母公司的标准普尔、穆迪等国际信用评级公司的信用评级为准。</w:t>
      </w:r>
    </w:p>
    <w:p w14:paraId="4B9DC9D0">
      <w:pPr>
        <w:spacing w:before="312" w:beforeLines="100"/>
        <w:ind w:firstLine="480" w:firstLineChars="200"/>
        <w:jc w:val="left"/>
        <w:rPr>
          <w:rFonts w:eastAsia="楷体_GB2312"/>
          <w:sz w:val="24"/>
        </w:rPr>
      </w:pPr>
      <w:r>
        <w:rPr>
          <w:rFonts w:hint="eastAsia" w:ascii="楷体" w:hAnsi="楷体" w:eastAsia="楷体"/>
          <w:sz w:val="24"/>
        </w:rPr>
        <w:t>（</w:t>
      </w:r>
      <w:r>
        <w:rPr>
          <w:rFonts w:ascii="楷体" w:hAnsi="楷体" w:eastAsia="楷体"/>
          <w:sz w:val="24"/>
        </w:rPr>
        <w:t>2</w:t>
      </w:r>
      <w:r>
        <w:rPr>
          <w:rFonts w:hint="eastAsia" w:ascii="楷体" w:hAnsi="楷体" w:eastAsia="楷体"/>
          <w:sz w:val="24"/>
        </w:rPr>
        <w:t>）如任何一方（包括其总公司或母公司）无标准普尔、穆迪等国际信用评级公司的信用评级，对于交易双方而言，则</w:t>
      </w:r>
      <w:r>
        <w:rPr>
          <w:rFonts w:ascii="楷体" w:hAnsi="楷体" w:eastAsia="楷体"/>
          <w:sz w:val="24"/>
        </w:rPr>
        <w:t>“</w:t>
      </w:r>
      <w:r>
        <w:rPr>
          <w:rFonts w:hint="eastAsia" w:ascii="楷体" w:hAnsi="楷体" w:eastAsia="楷体"/>
          <w:sz w:val="24"/>
        </w:rPr>
        <w:t>严重降低</w:t>
      </w:r>
      <w:r>
        <w:rPr>
          <w:rFonts w:ascii="楷体" w:hAnsi="楷体" w:eastAsia="楷体"/>
          <w:sz w:val="24"/>
        </w:rPr>
        <w:t>”</w:t>
      </w:r>
      <w:r>
        <w:rPr>
          <w:rFonts w:hint="eastAsia" w:ascii="楷体" w:hAnsi="楷体" w:eastAsia="楷体"/>
          <w:sz w:val="24"/>
        </w:rPr>
        <w:t>按以下标准衡量：若</w:t>
      </w:r>
      <w:r>
        <w:rPr>
          <w:rFonts w:hint="eastAsia" w:ascii="楷体" w:hAnsi="楷体" w:eastAsia="楷体"/>
          <w:b/>
          <w:sz w:val="24"/>
        </w:rPr>
        <w:t>非受影响方</w:t>
      </w:r>
      <w:r>
        <w:rPr>
          <w:rFonts w:hint="eastAsia" w:ascii="楷体" w:hAnsi="楷体" w:eastAsia="楷体"/>
          <w:sz w:val="24"/>
        </w:rPr>
        <w:t>合理、诚信的判断</w:t>
      </w:r>
      <w:r>
        <w:rPr>
          <w:rFonts w:hint="eastAsia" w:ascii="楷体" w:hAnsi="楷体" w:eastAsia="楷体"/>
          <w:b/>
          <w:sz w:val="24"/>
        </w:rPr>
        <w:t>受影响方</w:t>
      </w:r>
      <w:r>
        <w:rPr>
          <w:rFonts w:hint="eastAsia" w:ascii="楷体" w:hAnsi="楷体" w:eastAsia="楷体"/>
          <w:sz w:val="24"/>
        </w:rPr>
        <w:t>的经营、资产、所有权情况发生了重大不利变化，或实际上将损害、延迟或防止</w:t>
      </w:r>
      <w:r>
        <w:rPr>
          <w:rFonts w:hint="eastAsia" w:ascii="楷体" w:hAnsi="楷体" w:eastAsia="楷体"/>
          <w:b/>
          <w:sz w:val="24"/>
        </w:rPr>
        <w:t>受影响方</w:t>
      </w:r>
      <w:r>
        <w:rPr>
          <w:rFonts w:hint="eastAsia" w:ascii="楷体" w:hAnsi="楷体" w:eastAsia="楷体"/>
          <w:sz w:val="24"/>
        </w:rPr>
        <w:t>履行</w:t>
      </w:r>
      <w:r>
        <w:rPr>
          <w:rFonts w:hint="eastAsia" w:ascii="楷体" w:hAnsi="楷体" w:eastAsia="楷体"/>
          <w:b/>
          <w:sz w:val="24"/>
        </w:rPr>
        <w:t>本协议</w:t>
      </w:r>
      <w:r>
        <w:rPr>
          <w:rFonts w:hint="eastAsia" w:ascii="楷体" w:hAnsi="楷体" w:eastAsia="楷体"/>
          <w:sz w:val="24"/>
        </w:rPr>
        <w:t>义务，并使得其不能对前述情况予以纠正或恢复。</w:t>
      </w:r>
    </w:p>
    <w:p w14:paraId="14F710E6">
      <w:pPr>
        <w:spacing w:before="312" w:beforeLines="100"/>
        <w:ind w:firstLine="482"/>
        <w:jc w:val="left"/>
        <w:rPr>
          <w:rFonts w:eastAsia="楷体_GB2312"/>
          <w:sz w:val="24"/>
        </w:rPr>
      </w:pPr>
      <w:r>
        <w:rPr>
          <w:rFonts w:hint="eastAsia" w:eastAsia="楷体_GB2312"/>
          <w:b/>
          <w:sz w:val="24"/>
        </w:rPr>
        <w:t>5</w:t>
      </w:r>
      <w:r>
        <w:rPr>
          <w:rFonts w:hint="eastAsia" w:eastAsia="楷体_GB2312"/>
          <w:sz w:val="24"/>
        </w:rPr>
        <w:t>、</w:t>
      </w:r>
      <w:r>
        <w:rPr>
          <w:rFonts w:hint="eastAsia" w:eastAsia="楷体_GB2312"/>
          <w:b/>
          <w:sz w:val="24"/>
        </w:rPr>
        <w:t>主协议</w:t>
      </w:r>
      <w:r>
        <w:rPr>
          <w:rFonts w:hint="eastAsia" w:eastAsia="楷体_GB2312"/>
          <w:sz w:val="24"/>
        </w:rPr>
        <w:t>第6.3条中的</w:t>
      </w:r>
      <w:r>
        <w:rPr>
          <w:rFonts w:eastAsia="楷体_GB2312"/>
          <w:sz w:val="24"/>
        </w:rPr>
        <w:t>“</w:t>
      </w:r>
      <w:r>
        <w:rPr>
          <w:rFonts w:hint="eastAsia" w:eastAsia="楷体_GB2312"/>
          <w:b/>
          <w:sz w:val="24"/>
        </w:rPr>
        <w:t>其他终止事件</w:t>
      </w:r>
      <w:r>
        <w:rPr>
          <w:rFonts w:eastAsia="楷体_GB2312"/>
          <w:sz w:val="24"/>
        </w:rPr>
        <w:t>”</w:t>
      </w:r>
      <w:r>
        <w:rPr>
          <w:rFonts w:hint="eastAsia" w:eastAsia="楷体_GB2312"/>
          <w:sz w:val="24"/>
        </w:rPr>
        <w:t>：</w:t>
      </w:r>
    </w:p>
    <w:p w14:paraId="53A8B2C2">
      <w:pPr>
        <w:spacing w:before="312" w:beforeLines="100"/>
        <w:ind w:firstLine="480" w:firstLineChars="200"/>
        <w:jc w:val="left"/>
        <w:rPr>
          <w:rFonts w:eastAsia="楷体_GB2312"/>
          <w:sz w:val="24"/>
        </w:rPr>
      </w:pPr>
      <w:r>
        <w:rPr>
          <w:rFonts w:hint="eastAsia" w:eastAsia="楷体_GB2312"/>
          <w:sz w:val="24"/>
        </w:rPr>
        <w:t>【是】适用；</w:t>
      </w:r>
    </w:p>
    <w:p w14:paraId="31B113D1">
      <w:pPr>
        <w:spacing w:before="312" w:beforeLines="100"/>
        <w:ind w:firstLine="480" w:firstLineChars="200"/>
        <w:jc w:val="left"/>
        <w:rPr>
          <w:rFonts w:eastAsia="楷体_GB2312"/>
          <w:sz w:val="24"/>
        </w:rPr>
      </w:pPr>
      <w:r>
        <w:rPr>
          <w:rFonts w:hint="eastAsia" w:eastAsia="楷体_GB2312"/>
          <w:sz w:val="24"/>
        </w:rPr>
        <w:t>若适用，</w:t>
      </w:r>
      <w:r>
        <w:rPr>
          <w:rFonts w:eastAsia="楷体_GB2312"/>
          <w:sz w:val="24"/>
        </w:rPr>
        <w:t>“</w:t>
      </w:r>
      <w:r>
        <w:rPr>
          <w:rFonts w:hint="eastAsia" w:eastAsia="楷体_GB2312"/>
          <w:b/>
          <w:sz w:val="24"/>
        </w:rPr>
        <w:t>其他终止事件</w:t>
      </w:r>
      <w:r>
        <w:rPr>
          <w:rFonts w:eastAsia="楷体_GB2312"/>
          <w:sz w:val="24"/>
        </w:rPr>
        <w:t>”</w:t>
      </w:r>
      <w:r>
        <w:rPr>
          <w:rFonts w:hint="eastAsia" w:eastAsia="楷体_GB2312"/>
          <w:sz w:val="24"/>
        </w:rPr>
        <w:t>包括下述情形：</w:t>
      </w:r>
    </w:p>
    <w:p w14:paraId="2C0E974C">
      <w:pPr>
        <w:spacing w:before="312" w:beforeLines="100"/>
        <w:ind w:firstLine="480" w:firstLineChars="200"/>
        <w:jc w:val="left"/>
        <w:rPr>
          <w:rFonts w:eastAsia="楷体_GB2312"/>
          <w:sz w:val="24"/>
        </w:rPr>
      </w:pPr>
      <w:r>
        <w:rPr>
          <w:rFonts w:eastAsia="楷体_GB2312"/>
          <w:sz w:val="24"/>
        </w:rPr>
        <w:t>当出现下列事件时，</w:t>
      </w:r>
      <w:r>
        <w:rPr>
          <w:rFonts w:eastAsia="楷体_GB2312"/>
          <w:b/>
          <w:bCs/>
          <w:sz w:val="24"/>
        </w:rPr>
        <w:t>非受影响方</w:t>
      </w:r>
      <w:r>
        <w:rPr>
          <w:rFonts w:eastAsia="楷体_GB2312"/>
          <w:sz w:val="24"/>
        </w:rPr>
        <w:t>有权终止交易。为避免疑问，出现下列终止事件的一方为</w:t>
      </w:r>
      <w:r>
        <w:rPr>
          <w:rFonts w:eastAsia="楷体_GB2312"/>
          <w:b/>
          <w:bCs/>
          <w:sz w:val="24"/>
        </w:rPr>
        <w:t>受影响方</w:t>
      </w:r>
      <w:r>
        <w:rPr>
          <w:rFonts w:eastAsia="楷体_GB2312"/>
          <w:sz w:val="24"/>
        </w:rPr>
        <w:t>。</w:t>
      </w:r>
    </w:p>
    <w:p w14:paraId="247E6A54">
      <w:pPr>
        <w:numPr>
          <w:ilvl w:val="0"/>
          <w:numId w:val="2"/>
        </w:numPr>
        <w:spacing w:before="312" w:beforeLines="100"/>
        <w:ind w:firstLine="480" w:firstLineChars="200"/>
        <w:jc w:val="left"/>
        <w:rPr>
          <w:rFonts w:eastAsia="楷体_GB2312"/>
          <w:sz w:val="24"/>
          <w:u w:val="single"/>
        </w:rPr>
      </w:pPr>
      <w:r>
        <w:rPr>
          <w:rFonts w:hint="eastAsia" w:eastAsia="楷体_GB2312"/>
          <w:sz w:val="24"/>
          <w:u w:val="single"/>
        </w:rPr>
        <w:t>交易一方、其履约保障提供者由于法律的变动在应当履行义务或行使权利之时或在其他时候（假设该其他时候为应当履行义务或行使权利之时），导致该交易项下的支付或交付义务变得不合法，或收受关于该交易的款项或者交付的实物变得不合法，或遵守关于该交易的主协议下的任何其他实质性条款变得不合法，或履行与该交易有关的履约保障文件约定的任何实质性义务变得不合法等事件。</w:t>
      </w:r>
    </w:p>
    <w:p w14:paraId="2FAA069B">
      <w:pPr>
        <w:spacing w:before="312" w:beforeLines="100"/>
        <w:ind w:firstLine="480" w:firstLineChars="200"/>
        <w:jc w:val="left"/>
        <w:rPr>
          <w:rFonts w:eastAsia="楷体_GB2312"/>
          <w:sz w:val="24"/>
          <w:u w:val="single"/>
        </w:rPr>
      </w:pPr>
      <w:r>
        <w:rPr>
          <w:rFonts w:hint="eastAsia" w:ascii="楷体" w:hAnsi="楷体" w:eastAsia="楷体"/>
          <w:sz w:val="24"/>
          <w:u w:val="single"/>
        </w:rPr>
        <w:t>（</w:t>
      </w:r>
      <w:r>
        <w:rPr>
          <w:rFonts w:ascii="楷体" w:hAnsi="楷体" w:eastAsia="楷体"/>
          <w:sz w:val="24"/>
          <w:u w:val="single"/>
        </w:rPr>
        <w:t>2</w:t>
      </w:r>
      <w:r>
        <w:rPr>
          <w:rFonts w:hint="eastAsia" w:ascii="楷体" w:hAnsi="楷体" w:eastAsia="楷体"/>
          <w:sz w:val="24"/>
          <w:u w:val="single"/>
        </w:rPr>
        <w:t>）任何一方为敏感客户或违反主协议项下保密义务，或未经另一方书面同意，利用该方或其关联方的信息对外进行不当宣传，另一方有权立即书面通知违约方解除合同并要求赔偿损失。上述保密义务及禁止不当宣传的承诺在主协议有效期内及结束后持续有效。敏感客户具体指违规开展以本公司股票为标的的场外衍生品业务的上市公司及其关联方、一致行动人；敏感客户同时也包括配资公司、荐股平台、</w:t>
      </w:r>
      <w:r>
        <w:rPr>
          <w:rFonts w:ascii="楷体" w:hAnsi="楷体" w:eastAsia="楷体"/>
          <w:sz w:val="24"/>
          <w:u w:val="single"/>
        </w:rPr>
        <w:t>P2P</w:t>
      </w:r>
      <w:r>
        <w:rPr>
          <w:rFonts w:hint="eastAsia" w:ascii="楷体" w:hAnsi="楷体" w:eastAsia="楷体"/>
          <w:sz w:val="24"/>
          <w:u w:val="single"/>
        </w:rPr>
        <w:t>平台、违规互联网金融平台等涉嫌非法金融活动或存在潜在利益冲突的主体等。</w:t>
      </w:r>
    </w:p>
    <w:p w14:paraId="19415BAA">
      <w:pPr>
        <w:spacing w:before="312" w:beforeLines="100"/>
        <w:ind w:firstLine="480" w:firstLineChars="200"/>
        <w:jc w:val="left"/>
        <w:rPr>
          <w:rFonts w:eastAsia="楷体_GB2312"/>
          <w:sz w:val="24"/>
        </w:rPr>
      </w:pPr>
      <w:r>
        <w:rPr>
          <w:rFonts w:hint="eastAsia" w:eastAsia="楷体_GB2312"/>
          <w:sz w:val="24"/>
        </w:rPr>
        <w:t>（</w:t>
      </w:r>
      <w:r>
        <w:rPr>
          <w:rFonts w:eastAsia="楷体_GB2312"/>
          <w:sz w:val="24"/>
        </w:rPr>
        <w:t>3</w:t>
      </w:r>
      <w:r>
        <w:rPr>
          <w:rFonts w:hint="eastAsia" w:eastAsia="楷体_GB2312"/>
          <w:sz w:val="24"/>
        </w:rPr>
        <w:t>）</w:t>
      </w:r>
      <w:r>
        <w:rPr>
          <w:rFonts w:hint="eastAsia" w:eastAsia="楷体_GB2312"/>
          <w:sz w:val="24"/>
          <w:u w:val="single"/>
        </w:rPr>
        <w:t>发生重大行政事件。交易一方被相关行政机关或监管机构立案调查，或被相关行政机关或者监管机构给予行政处罚，且非受影响方在知悉该事件后向受影响方寻求揭示，受影响方未能按照非受影响方的要求给出关于该等行政事件不会影响到</w:t>
      </w:r>
      <w:r>
        <w:rPr>
          <w:rFonts w:hint="eastAsia" w:eastAsia="楷体_GB2312"/>
          <w:b/>
          <w:bCs/>
          <w:sz w:val="24"/>
          <w:u w:val="single"/>
        </w:rPr>
        <w:t>交易</w:t>
      </w:r>
      <w:r>
        <w:rPr>
          <w:rFonts w:hint="eastAsia" w:eastAsia="楷体_GB2312"/>
          <w:sz w:val="24"/>
          <w:u w:val="single"/>
        </w:rPr>
        <w:t>的合理解释。</w:t>
      </w:r>
    </w:p>
    <w:p w14:paraId="42B35AA7">
      <w:pPr>
        <w:spacing w:before="312" w:beforeLines="100"/>
        <w:ind w:firstLine="482" w:firstLineChars="200"/>
        <w:jc w:val="left"/>
        <w:rPr>
          <w:rFonts w:eastAsia="楷体_GB2312"/>
          <w:sz w:val="24"/>
        </w:rPr>
      </w:pPr>
      <w:r>
        <w:rPr>
          <w:rFonts w:eastAsia="楷体_GB2312"/>
          <w:b/>
          <w:sz w:val="24"/>
        </w:rPr>
        <w:t>6</w:t>
      </w:r>
      <w:r>
        <w:rPr>
          <w:rFonts w:hint="eastAsia" w:eastAsia="楷体_GB2312"/>
          <w:sz w:val="24"/>
        </w:rPr>
        <w:t>、</w:t>
      </w:r>
      <w:r>
        <w:rPr>
          <w:rFonts w:hint="eastAsia" w:eastAsia="楷体_GB2312"/>
          <w:b/>
          <w:sz w:val="24"/>
        </w:rPr>
        <w:t>提前终止的其他情形</w:t>
      </w:r>
    </w:p>
    <w:p w14:paraId="4BA13E3C">
      <w:pPr>
        <w:spacing w:before="312" w:beforeLines="100"/>
        <w:ind w:firstLine="480" w:firstLineChars="200"/>
        <w:jc w:val="left"/>
        <w:rPr>
          <w:rFonts w:eastAsia="楷体_GB2312"/>
          <w:sz w:val="24"/>
        </w:rPr>
      </w:pPr>
      <w:r>
        <w:rPr>
          <w:rFonts w:hint="eastAsia" w:eastAsia="楷体_GB2312"/>
          <w:sz w:val="24"/>
        </w:rPr>
        <w:t>（</w:t>
      </w:r>
      <w:r>
        <w:rPr>
          <w:rFonts w:eastAsia="楷体_GB2312"/>
          <w:sz w:val="24"/>
        </w:rPr>
        <w:t>1</w:t>
      </w:r>
      <w:r>
        <w:rPr>
          <w:rFonts w:hint="eastAsia" w:eastAsia="楷体_GB2312"/>
          <w:sz w:val="24"/>
        </w:rPr>
        <w:t>）交易一方及其履约保障提供方发生信用状况或财务状况恶化等足以影响履约能力的情形的，交易另一方有权提前终止</w:t>
      </w:r>
      <w:r>
        <w:rPr>
          <w:rFonts w:hint="eastAsia" w:eastAsia="楷体_GB2312"/>
          <w:b/>
          <w:sz w:val="24"/>
        </w:rPr>
        <w:t>本协议</w:t>
      </w:r>
      <w:r>
        <w:rPr>
          <w:rFonts w:hint="eastAsia" w:eastAsia="楷体_GB2312"/>
          <w:sz w:val="24"/>
        </w:rPr>
        <w:t>下所有交易，提前终止价格由交易另一方计算。</w:t>
      </w:r>
    </w:p>
    <w:p w14:paraId="4B7981E2">
      <w:pPr>
        <w:spacing w:before="312" w:beforeLines="100"/>
        <w:ind w:firstLine="480" w:firstLineChars="200"/>
        <w:jc w:val="left"/>
        <w:rPr>
          <w:rFonts w:eastAsia="楷体_GB2312"/>
          <w:sz w:val="24"/>
        </w:rPr>
      </w:pPr>
      <w:r>
        <w:rPr>
          <w:rFonts w:hint="eastAsia" w:eastAsia="楷体_GB2312"/>
          <w:sz w:val="24"/>
        </w:rPr>
        <w:t>（</w:t>
      </w:r>
      <w:r>
        <w:rPr>
          <w:rFonts w:eastAsia="楷体_GB2312"/>
          <w:sz w:val="24"/>
        </w:rPr>
        <w:t>2</w:t>
      </w:r>
      <w:r>
        <w:rPr>
          <w:rFonts w:hint="eastAsia" w:eastAsia="楷体_GB2312"/>
          <w:sz w:val="24"/>
        </w:rPr>
        <w:t>）适用法律、法规、监管规则及其相关解释及适用的变化或不可抗力、政府行为等其他非交易一方可以控制的事件发生导致其按照主协议、补充协议持有、取得和处置其为对冲</w:t>
      </w:r>
      <w:r>
        <w:rPr>
          <w:rFonts w:hint="eastAsia" w:eastAsia="楷体_GB2312"/>
          <w:b/>
          <w:sz w:val="24"/>
        </w:rPr>
        <w:t>本协议</w:t>
      </w:r>
      <w:r>
        <w:rPr>
          <w:rFonts w:hint="eastAsia" w:eastAsia="楷体_GB2312"/>
          <w:sz w:val="24"/>
        </w:rPr>
        <w:t>下交易所持有的标的证券或者投资组合的行为变得不可能、不可行或构成违法或成本增加的，该交易一方有权要求提前终止</w:t>
      </w:r>
      <w:r>
        <w:rPr>
          <w:rFonts w:hint="eastAsia" w:eastAsia="楷体_GB2312"/>
          <w:b/>
          <w:sz w:val="24"/>
        </w:rPr>
        <w:t>本协议</w:t>
      </w:r>
      <w:r>
        <w:rPr>
          <w:rFonts w:hint="eastAsia" w:eastAsia="楷体_GB2312"/>
          <w:sz w:val="24"/>
        </w:rPr>
        <w:t>下受影响的交易，并计算提前终止价格，或者经甲乙双方协商一致修改交易结构、相应调整费率。</w:t>
      </w:r>
    </w:p>
    <w:p w14:paraId="62633E48">
      <w:pPr>
        <w:spacing w:before="312" w:beforeLines="100"/>
        <w:ind w:firstLine="480" w:firstLineChars="200"/>
        <w:jc w:val="left"/>
        <w:rPr>
          <w:rFonts w:eastAsia="楷体_GB2312"/>
          <w:sz w:val="24"/>
        </w:rPr>
      </w:pPr>
      <w:r>
        <w:rPr>
          <w:rFonts w:hint="eastAsia" w:eastAsia="楷体_GB2312"/>
          <w:sz w:val="24"/>
        </w:rPr>
        <w:t>（</w:t>
      </w:r>
      <w:r>
        <w:rPr>
          <w:rFonts w:eastAsia="楷体_GB2312"/>
          <w:sz w:val="24"/>
        </w:rPr>
        <w:t>3</w:t>
      </w:r>
      <w:r>
        <w:rPr>
          <w:rFonts w:hint="eastAsia" w:eastAsia="楷体_GB2312"/>
          <w:sz w:val="24"/>
        </w:rPr>
        <w:t>）交易一方未能根据国家有关法律、法规及相关主管部门、监管部门、交易所等自律组织的相关规定及与交易另一方约定如实履行与本交易有关的信息披露义务或披露的信息存在虚假、误导、重大遗漏等情形，或交易一方在进行场外衍生品交易过程中发生违反法律法规的情形的，交易另一方有权提前终止</w:t>
      </w:r>
      <w:r>
        <w:rPr>
          <w:rFonts w:hint="eastAsia" w:eastAsia="楷体_GB2312"/>
          <w:b/>
          <w:sz w:val="24"/>
        </w:rPr>
        <w:t>本协议</w:t>
      </w:r>
      <w:r>
        <w:rPr>
          <w:rFonts w:hint="eastAsia" w:eastAsia="楷体_GB2312"/>
          <w:sz w:val="24"/>
        </w:rPr>
        <w:t>，由此导致的监管处罚和法律责任及所有费用和损失均由违约的交易一方承担。交易另一方提前终止</w:t>
      </w:r>
      <w:r>
        <w:rPr>
          <w:rFonts w:hint="eastAsia" w:eastAsia="楷体_GB2312"/>
          <w:b/>
          <w:sz w:val="24"/>
        </w:rPr>
        <w:t>本协议</w:t>
      </w:r>
      <w:r>
        <w:rPr>
          <w:rFonts w:hint="eastAsia" w:eastAsia="楷体_GB2312"/>
          <w:sz w:val="24"/>
        </w:rPr>
        <w:t>的，提前终止价格由交易另一方计算。</w:t>
      </w:r>
    </w:p>
    <w:p w14:paraId="4241BF93">
      <w:pPr>
        <w:spacing w:before="312" w:beforeLines="100"/>
        <w:ind w:firstLine="600" w:firstLineChars="250"/>
        <w:jc w:val="left"/>
        <w:rPr>
          <w:rFonts w:eastAsia="楷体_GB2312"/>
          <w:sz w:val="24"/>
        </w:rPr>
      </w:pPr>
    </w:p>
    <w:p w14:paraId="144F7813">
      <w:pPr>
        <w:spacing w:before="312" w:beforeLines="100" w:line="300" w:lineRule="auto"/>
        <w:jc w:val="left"/>
        <w:rPr>
          <w:rFonts w:eastAsia="楷体_GB2312"/>
          <w:b/>
          <w:sz w:val="24"/>
        </w:rPr>
      </w:pPr>
      <w:r>
        <w:rPr>
          <w:rFonts w:eastAsia="楷体_GB2312"/>
          <w:b/>
          <w:sz w:val="24"/>
        </w:rPr>
        <w:t>第二条 同意提供的材料</w:t>
      </w:r>
    </w:p>
    <w:p w14:paraId="1A478C05">
      <w:pPr>
        <w:spacing w:before="312" w:beforeLines="100"/>
        <w:ind w:firstLine="480" w:firstLineChars="200"/>
        <w:jc w:val="left"/>
        <w:rPr>
          <w:rFonts w:eastAsia="楷体_GB2312"/>
          <w:sz w:val="24"/>
        </w:rPr>
      </w:pPr>
      <w:r>
        <w:rPr>
          <w:rFonts w:eastAsia="楷体_GB2312"/>
          <w:sz w:val="24"/>
        </w:rPr>
        <w:t>为</w:t>
      </w:r>
      <w:r>
        <w:rPr>
          <w:rFonts w:eastAsia="楷体_GB2312"/>
          <w:b/>
          <w:sz w:val="24"/>
        </w:rPr>
        <w:t>主协议</w:t>
      </w:r>
      <w:r>
        <w:rPr>
          <w:rFonts w:eastAsia="楷体_GB2312"/>
          <w:sz w:val="24"/>
        </w:rPr>
        <w:t>第10.8条的目的，各方同意应对方要求提供的材料包括：</w:t>
      </w:r>
    </w:p>
    <w:p w14:paraId="38C18FF6">
      <w:pPr>
        <w:spacing w:before="312" w:beforeLines="100"/>
        <w:ind w:firstLine="480" w:firstLineChars="200"/>
        <w:jc w:val="left"/>
        <w:rPr>
          <w:rFonts w:eastAsia="楷体_GB2312"/>
          <w:sz w:val="24"/>
        </w:rPr>
      </w:pPr>
      <w:r>
        <w:rPr>
          <w:rFonts w:eastAsia="楷体_GB2312"/>
          <w:sz w:val="24"/>
        </w:rPr>
        <w:t>甲方需提供的材料</w:t>
      </w:r>
      <w:r>
        <w:rPr>
          <w:rFonts w:hint="eastAsia" w:eastAsia="楷体_GB2312"/>
          <w:sz w:val="24"/>
        </w:rPr>
        <w:t>：</w:t>
      </w:r>
    </w:p>
    <w:p w14:paraId="21ACCF9B">
      <w:pPr>
        <w:spacing w:before="312" w:beforeLines="100"/>
        <w:ind w:firstLine="480" w:firstLineChars="200"/>
        <w:jc w:val="left"/>
        <w:rPr>
          <w:rFonts w:eastAsia="楷体_GB2312"/>
          <w:sz w:val="24"/>
        </w:rPr>
      </w:pPr>
      <w:r>
        <w:rPr>
          <w:rFonts w:hint="eastAsia" w:eastAsia="楷体_GB2312"/>
          <w:sz w:val="24"/>
        </w:rPr>
        <w:t>1、甲方最近的营业执照复印件；</w:t>
      </w:r>
    </w:p>
    <w:p w14:paraId="6872F6A6">
      <w:pPr>
        <w:spacing w:before="312" w:beforeLines="100"/>
        <w:ind w:firstLine="480" w:firstLineChars="200"/>
        <w:jc w:val="left"/>
        <w:rPr>
          <w:rFonts w:eastAsia="楷体"/>
          <w:sz w:val="24"/>
        </w:rPr>
      </w:pPr>
      <w:r>
        <w:rPr>
          <w:rFonts w:hint="eastAsia" w:eastAsia="楷体_GB2312"/>
          <w:sz w:val="24"/>
        </w:rPr>
        <w:t>2、</w:t>
      </w:r>
      <w:r>
        <w:rPr>
          <w:rFonts w:hint="eastAsia" w:ascii="楷体" w:hAnsi="楷体" w:eastAsia="楷体"/>
          <w:sz w:val="24"/>
        </w:rPr>
        <w:t>中国证券监督管理委员会（</w:t>
      </w:r>
      <w:r>
        <w:rPr>
          <w:rFonts w:hint="cs" w:ascii="楷体" w:hAnsi="楷体" w:eastAsia="楷体"/>
          <w:sz w:val="24"/>
        </w:rPr>
        <w:t>“</w:t>
      </w:r>
      <w:r>
        <w:rPr>
          <w:rFonts w:hint="eastAsia" w:ascii="楷体" w:hAnsi="楷体" w:eastAsia="楷体"/>
          <w:sz w:val="24"/>
        </w:rPr>
        <w:t>证监会</w:t>
      </w:r>
      <w:r>
        <w:rPr>
          <w:rFonts w:hint="cs" w:ascii="楷体" w:hAnsi="楷体" w:eastAsia="楷体"/>
          <w:sz w:val="24"/>
        </w:rPr>
        <w:t>”</w:t>
      </w:r>
      <w:r>
        <w:rPr>
          <w:rFonts w:hint="eastAsia" w:ascii="楷体" w:hAnsi="楷体" w:eastAsia="楷体"/>
          <w:sz w:val="24"/>
        </w:rPr>
        <w:t>）颁发给甲方的经营证券业务许可证的复印件；</w:t>
      </w:r>
    </w:p>
    <w:p w14:paraId="736119BF">
      <w:pPr>
        <w:spacing w:before="312" w:beforeLines="100"/>
        <w:ind w:firstLine="480" w:firstLineChars="200"/>
        <w:jc w:val="left"/>
        <w:rPr>
          <w:rFonts w:eastAsia="楷体_GB2312"/>
          <w:sz w:val="24"/>
        </w:rPr>
      </w:pPr>
      <w:r>
        <w:rPr>
          <w:rFonts w:hint="eastAsia" w:eastAsia="楷体_GB2312"/>
          <w:sz w:val="24"/>
        </w:rPr>
        <w:t>3、</w:t>
      </w:r>
      <w:r>
        <w:rPr>
          <w:rFonts w:eastAsia="楷体_GB2312"/>
          <w:sz w:val="24"/>
        </w:rPr>
        <w:t>证监会或证券业协会颁发给甲方的开办衍生产品交易业务资格批复的复印件</w:t>
      </w:r>
      <w:r>
        <w:rPr>
          <w:rFonts w:hint="eastAsia" w:eastAsia="楷体_GB2312"/>
          <w:sz w:val="24"/>
        </w:rPr>
        <w:t>；</w:t>
      </w:r>
    </w:p>
    <w:p w14:paraId="6E8EB87E">
      <w:pPr>
        <w:spacing w:before="312" w:beforeLines="100"/>
        <w:ind w:firstLine="480" w:firstLineChars="200"/>
        <w:jc w:val="left"/>
        <w:rPr>
          <w:rFonts w:ascii="楷体" w:hAnsi="楷体" w:eastAsia="楷体"/>
          <w:sz w:val="24"/>
        </w:rPr>
      </w:pPr>
      <w:r>
        <w:rPr>
          <w:rFonts w:ascii="楷体" w:hAnsi="楷体" w:eastAsia="楷体"/>
          <w:sz w:val="24"/>
        </w:rPr>
        <w:t>4</w:t>
      </w:r>
      <w:r>
        <w:rPr>
          <w:rFonts w:hint="eastAsia" w:ascii="楷体" w:hAnsi="楷体" w:eastAsia="楷体"/>
          <w:sz w:val="24"/>
        </w:rPr>
        <w:t>、甲方法定代表人</w:t>
      </w:r>
      <w:r>
        <w:rPr>
          <w:rFonts w:ascii="楷体" w:hAnsi="楷体" w:eastAsia="楷体"/>
          <w:sz w:val="24"/>
        </w:rPr>
        <w:t>/</w:t>
      </w:r>
      <w:r>
        <w:rPr>
          <w:rFonts w:hint="eastAsia" w:ascii="楷体" w:hAnsi="楷体" w:eastAsia="楷体" w:cs="宋体"/>
          <w:sz w:val="24"/>
        </w:rPr>
        <w:t>执行事务合伙人</w:t>
      </w:r>
      <w:r>
        <w:rPr>
          <w:rFonts w:hint="eastAsia" w:ascii="楷体" w:hAnsi="楷体" w:eastAsia="楷体"/>
          <w:sz w:val="24"/>
        </w:rPr>
        <w:t>证明文件及身份证</w:t>
      </w:r>
      <w:r>
        <w:rPr>
          <w:rFonts w:ascii="楷体" w:hAnsi="楷体" w:eastAsia="楷体"/>
          <w:sz w:val="24"/>
        </w:rPr>
        <w:t>/</w:t>
      </w:r>
      <w:r>
        <w:rPr>
          <w:rFonts w:hint="eastAsia" w:ascii="楷体" w:hAnsi="楷体" w:eastAsia="楷体"/>
          <w:sz w:val="24"/>
        </w:rPr>
        <w:t>证照复印件；</w:t>
      </w:r>
    </w:p>
    <w:p w14:paraId="73CDFF9F">
      <w:pPr>
        <w:spacing w:before="312" w:beforeLines="100"/>
        <w:ind w:firstLine="480" w:firstLineChars="200"/>
        <w:jc w:val="left"/>
        <w:rPr>
          <w:rFonts w:ascii="楷体" w:hAnsi="楷体" w:eastAsia="楷体"/>
          <w:sz w:val="24"/>
        </w:rPr>
      </w:pPr>
      <w:r>
        <w:rPr>
          <w:rFonts w:ascii="楷体" w:hAnsi="楷体" w:eastAsia="楷体"/>
          <w:sz w:val="24"/>
        </w:rPr>
        <w:t>5</w:t>
      </w:r>
      <w:r>
        <w:rPr>
          <w:rFonts w:hint="eastAsia" w:ascii="楷体" w:hAnsi="楷体" w:eastAsia="楷体"/>
          <w:sz w:val="24"/>
        </w:rPr>
        <w:t>、如签章非法人章，需提供代表甲方签订本协议的授权签字人的身份证件、有效授权书（或其复印件）和签字样本（或复印件）；</w:t>
      </w:r>
    </w:p>
    <w:p w14:paraId="6185BAF7">
      <w:pPr>
        <w:spacing w:before="312" w:beforeLines="100"/>
        <w:ind w:firstLine="480" w:firstLineChars="200"/>
        <w:jc w:val="left"/>
        <w:rPr>
          <w:rFonts w:eastAsia="楷体_GB2312"/>
          <w:sz w:val="24"/>
        </w:rPr>
      </w:pPr>
      <w:r>
        <w:rPr>
          <w:rFonts w:ascii="楷体" w:hAnsi="楷体" w:eastAsia="楷体"/>
          <w:sz w:val="24"/>
        </w:rPr>
        <w:t>6</w:t>
      </w:r>
      <w:r>
        <w:rPr>
          <w:rFonts w:hint="eastAsia" w:ascii="楷体" w:hAnsi="楷体" w:eastAsia="楷体"/>
          <w:sz w:val="24"/>
        </w:rPr>
        <w:t>、乙方可能合理要求的其他文件。</w:t>
      </w:r>
    </w:p>
    <w:p w14:paraId="3146460C">
      <w:pPr>
        <w:spacing w:before="312" w:beforeLines="100"/>
        <w:ind w:firstLine="480" w:firstLineChars="200"/>
        <w:jc w:val="left"/>
        <w:rPr>
          <w:rFonts w:eastAsia="楷体_GB2312"/>
          <w:sz w:val="24"/>
        </w:rPr>
      </w:pPr>
      <w:r>
        <w:rPr>
          <w:rFonts w:eastAsia="楷体_GB2312"/>
          <w:sz w:val="24"/>
        </w:rPr>
        <w:t>乙方需提供的材料</w:t>
      </w:r>
      <w:r>
        <w:rPr>
          <w:rFonts w:hint="eastAsia" w:eastAsia="楷体_GB2312"/>
          <w:sz w:val="24"/>
        </w:rPr>
        <w:t>：</w:t>
      </w:r>
    </w:p>
    <w:p w14:paraId="1371A02B">
      <w:pPr>
        <w:spacing w:before="312" w:beforeLines="100"/>
        <w:ind w:firstLine="480" w:firstLineChars="200"/>
        <w:jc w:val="left"/>
        <w:rPr>
          <w:rFonts w:eastAsia="楷体_GB2312"/>
          <w:sz w:val="24"/>
        </w:rPr>
      </w:pPr>
      <w:r>
        <w:rPr>
          <w:rFonts w:eastAsia="楷体_GB2312"/>
          <w:sz w:val="24"/>
        </w:rPr>
        <w:t>1</w:t>
      </w:r>
      <w:r>
        <w:rPr>
          <w:rFonts w:hint="eastAsia" w:eastAsia="楷体_GB2312"/>
          <w:sz w:val="24"/>
        </w:rPr>
        <w:t>、乙方的监管机构向乙方颁发的开展其主营金融业务的许可证的复印件，包括但不限于：</w:t>
      </w:r>
    </w:p>
    <w:p w14:paraId="7D32C60F">
      <w:pPr>
        <w:spacing w:before="312" w:beforeLines="100"/>
        <w:ind w:firstLine="480" w:firstLineChars="200"/>
        <w:jc w:val="left"/>
        <w:rPr>
          <w:rFonts w:eastAsia="楷体_GB2312"/>
          <w:sz w:val="24"/>
        </w:rPr>
      </w:pPr>
      <w:r>
        <w:rPr>
          <w:rFonts w:hint="eastAsia" w:eastAsia="楷体_GB2312"/>
          <w:sz w:val="24"/>
        </w:rPr>
        <w:t>（</w:t>
      </w:r>
      <w:r>
        <w:rPr>
          <w:rFonts w:eastAsia="楷体_GB2312"/>
          <w:sz w:val="24"/>
        </w:rPr>
        <w:t>1</w:t>
      </w:r>
      <w:r>
        <w:rPr>
          <w:rFonts w:hint="eastAsia" w:eastAsia="楷体_GB2312"/>
          <w:sz w:val="24"/>
        </w:rPr>
        <w:t>）乙方为受中国银行保险监督管理委员会（以下简称“中国银保监会”）监管、经批准经营金融业务的金融机构的，应提供中国银保监会颁发的金融许可证；</w:t>
      </w:r>
    </w:p>
    <w:p w14:paraId="460C7DEA">
      <w:pPr>
        <w:spacing w:before="312" w:beforeLines="100"/>
        <w:ind w:firstLine="480" w:firstLineChars="200"/>
        <w:jc w:val="left"/>
        <w:rPr>
          <w:rFonts w:eastAsia="楷体_GB2312"/>
          <w:sz w:val="24"/>
        </w:rPr>
      </w:pPr>
      <w:r>
        <w:rPr>
          <w:rFonts w:hint="eastAsia" w:eastAsia="楷体_GB2312"/>
          <w:sz w:val="24"/>
        </w:rPr>
        <w:t>（</w:t>
      </w:r>
      <w:r>
        <w:rPr>
          <w:rFonts w:eastAsia="楷体_GB2312"/>
          <w:sz w:val="24"/>
        </w:rPr>
        <w:t>2</w:t>
      </w:r>
      <w:r>
        <w:rPr>
          <w:rFonts w:hint="eastAsia" w:eastAsia="楷体_GB2312"/>
          <w:sz w:val="24"/>
        </w:rPr>
        <w:t>）乙方为证券公司的，应提供中国证监会颁发的经营证券业务许可证；</w:t>
      </w:r>
    </w:p>
    <w:p w14:paraId="42714AA0">
      <w:pPr>
        <w:spacing w:before="312" w:beforeLines="100"/>
        <w:ind w:firstLine="480" w:firstLineChars="200"/>
        <w:jc w:val="left"/>
        <w:rPr>
          <w:rFonts w:eastAsia="楷体_GB2312"/>
          <w:sz w:val="24"/>
        </w:rPr>
      </w:pPr>
      <w:r>
        <w:rPr>
          <w:rFonts w:hint="eastAsia" w:eastAsia="楷体_GB2312"/>
          <w:sz w:val="24"/>
        </w:rPr>
        <w:t>（</w:t>
      </w:r>
      <w:r>
        <w:rPr>
          <w:rFonts w:eastAsia="楷体_GB2312"/>
          <w:sz w:val="24"/>
        </w:rPr>
        <w:t>3</w:t>
      </w:r>
      <w:r>
        <w:rPr>
          <w:rFonts w:hint="eastAsia" w:eastAsia="楷体_GB2312"/>
          <w:sz w:val="24"/>
        </w:rPr>
        <w:t>）乙方为保险机构的，应提供中国银保监会颁发的保险公司法人许可证和经营保险业务许可证、保险资产管理公司法人许可证和经营保险资产管理业务许可证。</w:t>
      </w:r>
    </w:p>
    <w:p w14:paraId="6DFB42FA">
      <w:pPr>
        <w:spacing w:before="312" w:beforeLines="100"/>
        <w:ind w:firstLine="480" w:firstLineChars="200"/>
        <w:jc w:val="left"/>
        <w:rPr>
          <w:rFonts w:eastAsia="楷体_GB2312"/>
          <w:sz w:val="24"/>
        </w:rPr>
      </w:pPr>
      <w:r>
        <w:rPr>
          <w:rFonts w:eastAsia="楷体_GB2312"/>
          <w:sz w:val="24"/>
        </w:rPr>
        <w:t>2</w:t>
      </w:r>
      <w:r>
        <w:rPr>
          <w:rFonts w:hint="eastAsia" w:eastAsia="楷体_GB2312"/>
          <w:sz w:val="24"/>
        </w:rPr>
        <w:t>、乙方的监管机构向乙方颁发的关于乙方开展场外衍生品交易业务资格批复、无异议函或乙方所属的行业自律性组织等出具的关于乙方开展场外衍生品交易相关业务方案的备案函或其他有权机关颁发的能够证明乙方有资格开展</w:t>
      </w:r>
      <w:r>
        <w:rPr>
          <w:rFonts w:hint="eastAsia" w:eastAsia="楷体_GB2312"/>
          <w:b/>
          <w:sz w:val="24"/>
        </w:rPr>
        <w:t>本协议</w:t>
      </w:r>
      <w:r>
        <w:rPr>
          <w:rFonts w:hint="eastAsia" w:eastAsia="楷体_GB2312"/>
          <w:sz w:val="24"/>
        </w:rPr>
        <w:t>下场外衍生品交易业务的文件；</w:t>
      </w:r>
    </w:p>
    <w:p w14:paraId="63710510">
      <w:pPr>
        <w:spacing w:before="312" w:beforeLines="100"/>
        <w:ind w:firstLine="480" w:firstLineChars="200"/>
        <w:jc w:val="left"/>
        <w:rPr>
          <w:rFonts w:eastAsia="楷体_GB2312"/>
          <w:sz w:val="24"/>
        </w:rPr>
      </w:pPr>
      <w:r>
        <w:rPr>
          <w:rFonts w:eastAsia="楷体_GB2312"/>
          <w:sz w:val="24"/>
        </w:rPr>
        <w:t>3、</w:t>
      </w:r>
      <w:r>
        <w:rPr>
          <w:rFonts w:hint="eastAsia" w:eastAsia="楷体_GB2312"/>
          <w:sz w:val="24"/>
        </w:rPr>
        <w:t>最近一</w:t>
      </w:r>
      <w:r>
        <w:rPr>
          <w:rFonts w:eastAsia="楷体_GB2312"/>
          <w:sz w:val="24"/>
        </w:rPr>
        <w:t>年</w:t>
      </w:r>
      <w:r>
        <w:rPr>
          <w:rFonts w:hint="eastAsia" w:eastAsia="楷体_GB2312"/>
          <w:sz w:val="24"/>
        </w:rPr>
        <w:t>经审计的年度财务报告及金融资产证明材料</w:t>
      </w:r>
      <w:r>
        <w:rPr>
          <w:rFonts w:eastAsia="楷体_GB2312"/>
          <w:sz w:val="24"/>
        </w:rPr>
        <w:t>；</w:t>
      </w:r>
    </w:p>
    <w:p w14:paraId="7934E5E2">
      <w:pPr>
        <w:spacing w:before="312" w:beforeLines="100"/>
        <w:ind w:firstLine="480" w:firstLineChars="200"/>
        <w:jc w:val="left"/>
        <w:rPr>
          <w:rFonts w:eastAsia="楷体_GB2312"/>
          <w:sz w:val="24"/>
        </w:rPr>
      </w:pPr>
      <w:r>
        <w:rPr>
          <w:rFonts w:hint="eastAsia" w:eastAsia="楷体_GB2312"/>
          <w:sz w:val="24"/>
        </w:rPr>
        <w:t>4、乙方法定代表人/执行事务合伙人证明文件及身份证/证照复印件;</w:t>
      </w:r>
    </w:p>
    <w:p w14:paraId="28CCB538">
      <w:pPr>
        <w:spacing w:before="312" w:beforeLines="100"/>
        <w:ind w:firstLine="480" w:firstLineChars="200"/>
        <w:jc w:val="left"/>
        <w:rPr>
          <w:rFonts w:eastAsia="楷体_GB2312"/>
          <w:sz w:val="24"/>
        </w:rPr>
      </w:pPr>
      <w:r>
        <w:rPr>
          <w:rFonts w:hint="eastAsia" w:eastAsia="楷体_GB2312"/>
          <w:sz w:val="24"/>
        </w:rPr>
        <w:t>5、如签章非法人章，需提供代表乙方签订本协议的授权签字人的身份证件、有效授权书（或其复印件）和签字样本（或复印件）;</w:t>
      </w:r>
    </w:p>
    <w:p w14:paraId="19F5EB89">
      <w:pPr>
        <w:spacing w:before="312" w:beforeLines="100"/>
        <w:ind w:firstLine="480" w:firstLineChars="200"/>
        <w:jc w:val="left"/>
        <w:rPr>
          <w:rFonts w:eastAsia="楷体_GB2312"/>
          <w:sz w:val="24"/>
        </w:rPr>
      </w:pPr>
      <w:r>
        <w:rPr>
          <w:rFonts w:hint="eastAsia" w:eastAsia="楷体_GB2312"/>
          <w:sz w:val="24"/>
        </w:rPr>
        <w:t>6</w:t>
      </w:r>
      <w:r>
        <w:rPr>
          <w:rFonts w:eastAsia="楷体_GB2312"/>
          <w:sz w:val="24"/>
        </w:rPr>
        <w:t>、</w:t>
      </w:r>
      <w:r>
        <w:rPr>
          <w:rFonts w:hint="eastAsia" w:eastAsia="楷体_GB2312"/>
          <w:sz w:val="24"/>
        </w:rPr>
        <w:t>营业执照副本；</w:t>
      </w:r>
    </w:p>
    <w:p w14:paraId="0AD56557">
      <w:pPr>
        <w:spacing w:before="312" w:beforeLines="100"/>
        <w:ind w:firstLine="480" w:firstLineChars="200"/>
        <w:jc w:val="left"/>
        <w:rPr>
          <w:rFonts w:eastAsia="楷体_GB2312"/>
          <w:sz w:val="24"/>
        </w:rPr>
      </w:pPr>
      <w:r>
        <w:rPr>
          <w:rFonts w:hint="eastAsia" w:eastAsia="楷体_GB2312"/>
          <w:sz w:val="24"/>
        </w:rPr>
        <w:t>7</w:t>
      </w:r>
      <w:r>
        <w:rPr>
          <w:rFonts w:eastAsia="楷体_GB2312"/>
          <w:sz w:val="24"/>
        </w:rPr>
        <w:t>、</w:t>
      </w:r>
      <w:r>
        <w:rPr>
          <w:rFonts w:hint="eastAsia" w:eastAsia="楷体_GB2312"/>
          <w:sz w:val="24"/>
        </w:rPr>
        <w:t>投资经验</w:t>
      </w:r>
      <w:r>
        <w:rPr>
          <w:rFonts w:eastAsia="楷体_GB2312"/>
          <w:sz w:val="24"/>
        </w:rPr>
        <w:t>证明材料</w:t>
      </w:r>
      <w:r>
        <w:rPr>
          <w:rFonts w:hint="eastAsia" w:eastAsia="楷体_GB2312"/>
          <w:sz w:val="24"/>
        </w:rPr>
        <w:t>；</w:t>
      </w:r>
    </w:p>
    <w:p w14:paraId="134412B9">
      <w:pPr>
        <w:spacing w:before="312" w:beforeLines="100"/>
        <w:ind w:firstLine="480" w:firstLineChars="200"/>
        <w:jc w:val="left"/>
        <w:rPr>
          <w:rFonts w:eastAsia="楷体_GB2312"/>
          <w:sz w:val="24"/>
        </w:rPr>
      </w:pPr>
      <w:r>
        <w:rPr>
          <w:rFonts w:hint="eastAsia" w:eastAsia="楷体_GB2312"/>
          <w:sz w:val="24"/>
        </w:rPr>
        <w:t>8</w:t>
      </w:r>
      <w:r>
        <w:rPr>
          <w:rFonts w:eastAsia="楷体_GB2312"/>
          <w:sz w:val="24"/>
        </w:rPr>
        <w:t>、</w:t>
      </w:r>
      <w:r>
        <w:rPr>
          <w:rFonts w:hint="eastAsia" w:eastAsia="楷体_GB2312"/>
          <w:sz w:val="24"/>
        </w:rPr>
        <w:t>甲方可能合理要求的其他文件。</w:t>
      </w:r>
    </w:p>
    <w:p w14:paraId="66798F21">
      <w:pPr>
        <w:spacing w:before="312" w:beforeLines="100"/>
        <w:ind w:firstLine="480" w:firstLineChars="200"/>
        <w:jc w:val="left"/>
        <w:rPr>
          <w:rFonts w:eastAsia="楷体_GB2312"/>
          <w:sz w:val="24"/>
        </w:rPr>
      </w:pPr>
      <w:r>
        <w:rPr>
          <w:rFonts w:eastAsia="楷体_GB2312"/>
          <w:sz w:val="24"/>
        </w:rPr>
        <w:t>此外，如</w:t>
      </w:r>
      <w:r>
        <w:rPr>
          <w:rFonts w:hint="eastAsia" w:eastAsia="楷体_GB2312"/>
          <w:sz w:val="24"/>
        </w:rPr>
        <w:t>交易一方</w:t>
      </w:r>
      <w:r>
        <w:rPr>
          <w:rFonts w:eastAsia="楷体_GB2312"/>
          <w:sz w:val="24"/>
        </w:rPr>
        <w:t>提出书面要求，</w:t>
      </w:r>
      <w:r>
        <w:rPr>
          <w:rFonts w:hint="eastAsia" w:eastAsia="楷体_GB2312"/>
          <w:sz w:val="24"/>
        </w:rPr>
        <w:t>另一方</w:t>
      </w:r>
      <w:r>
        <w:rPr>
          <w:rFonts w:eastAsia="楷体_GB2312"/>
          <w:sz w:val="24"/>
        </w:rPr>
        <w:t>应</w:t>
      </w:r>
      <w:r>
        <w:rPr>
          <w:rFonts w:hint="eastAsia" w:eastAsia="楷体_GB2312"/>
          <w:sz w:val="24"/>
        </w:rPr>
        <w:t>在及时提供：</w:t>
      </w:r>
      <w:r>
        <w:rPr>
          <w:rFonts w:eastAsia="楷体_GB2312"/>
          <w:sz w:val="24"/>
        </w:rPr>
        <w:t>按照其注册地通用的会计准则编制</w:t>
      </w:r>
      <w:bookmarkStart w:id="2" w:name="OLE_LINK14"/>
      <w:bookmarkStart w:id="3" w:name="OLE_LINK15"/>
      <w:r>
        <w:rPr>
          <w:rFonts w:eastAsia="楷体_GB2312"/>
          <w:sz w:val="24"/>
        </w:rPr>
        <w:t>的最近的半年度财务报告（包含合并财务报表）复印件以及按照其注册地通用的会计准则编制</w:t>
      </w:r>
      <w:bookmarkEnd w:id="2"/>
      <w:bookmarkEnd w:id="3"/>
      <w:r>
        <w:rPr>
          <w:rFonts w:eastAsia="楷体_GB2312"/>
          <w:sz w:val="24"/>
        </w:rPr>
        <w:t>并且由注册会计师签署的、经审计的该方最近年度的年度财务报告（包含合并财务报表）复印件。如</w:t>
      </w:r>
      <w:r>
        <w:rPr>
          <w:rFonts w:hint="eastAsia" w:eastAsia="楷体_GB2312"/>
          <w:sz w:val="24"/>
        </w:rPr>
        <w:t>一方</w:t>
      </w:r>
      <w:r>
        <w:rPr>
          <w:rFonts w:eastAsia="楷体_GB2312"/>
          <w:sz w:val="24"/>
        </w:rPr>
        <w:t>提出</w:t>
      </w:r>
      <w:r>
        <w:rPr>
          <w:rFonts w:hint="eastAsia" w:eastAsia="楷体_GB2312"/>
          <w:sz w:val="24"/>
        </w:rPr>
        <w:t>书面</w:t>
      </w:r>
      <w:r>
        <w:rPr>
          <w:rFonts w:eastAsia="楷体_GB2312"/>
          <w:sz w:val="24"/>
        </w:rPr>
        <w:t>要求，</w:t>
      </w:r>
      <w:r>
        <w:rPr>
          <w:rFonts w:hint="eastAsia" w:eastAsia="楷体_GB2312"/>
          <w:sz w:val="24"/>
        </w:rPr>
        <w:t>另一方</w:t>
      </w:r>
      <w:r>
        <w:rPr>
          <w:rFonts w:eastAsia="楷体_GB2312"/>
          <w:sz w:val="24"/>
        </w:rPr>
        <w:t>应</w:t>
      </w:r>
      <w:r>
        <w:rPr>
          <w:rFonts w:hint="eastAsia" w:eastAsia="楷体_GB2312"/>
          <w:sz w:val="24"/>
        </w:rPr>
        <w:t>在及时</w:t>
      </w:r>
      <w:r>
        <w:rPr>
          <w:rFonts w:eastAsia="楷体_GB2312"/>
          <w:sz w:val="24"/>
        </w:rPr>
        <w:t>提供其</w:t>
      </w:r>
      <w:r>
        <w:rPr>
          <w:rFonts w:eastAsia="楷体_GB2312"/>
          <w:b/>
          <w:bCs/>
          <w:sz w:val="24"/>
        </w:rPr>
        <w:t>履约保障提供方</w:t>
      </w:r>
      <w:r>
        <w:rPr>
          <w:rFonts w:eastAsia="楷体_GB2312"/>
          <w:sz w:val="24"/>
        </w:rPr>
        <w:t>（如有）的按照注册地通用的会计准则编制的最近的半年度财务报告（包含合并财务报表）复印件以及按照其注册地通用的会计准则编制并且由注册会计师签署的、经审计的最近年度的年度财务报告（包含合并财务报表）复印件。</w:t>
      </w:r>
      <w:r>
        <w:rPr>
          <w:rFonts w:hint="eastAsia" w:eastAsia="楷体_GB2312"/>
          <w:sz w:val="24"/>
        </w:rPr>
        <w:t>年度财务报告应在准备好之后尽可能立即、或在其公开之后尽其可行立即向对方提供。但就交易一方或其履约保障提供方(如有)而言，其在上海或深圳证券交易所、中国证券业协会相关网页或其自身的网站上公布其年度财务报告应视为已向对方提交该等年度财务报告。</w:t>
      </w:r>
    </w:p>
    <w:p w14:paraId="52D170A7">
      <w:pPr>
        <w:spacing w:before="312" w:beforeLines="100"/>
        <w:ind w:firstLine="480" w:firstLineChars="200"/>
        <w:jc w:val="left"/>
        <w:rPr>
          <w:rFonts w:eastAsia="楷体_GB2312"/>
          <w:sz w:val="24"/>
        </w:rPr>
      </w:pPr>
      <w:r>
        <w:rPr>
          <w:rFonts w:hint="eastAsia" w:eastAsia="楷体_GB2312"/>
          <w:sz w:val="24"/>
        </w:rPr>
        <w:t>如以上材料发生变更时，一方应及时将变更后的文件提交给另一方。</w:t>
      </w:r>
    </w:p>
    <w:p w14:paraId="5A35C753">
      <w:pPr>
        <w:spacing w:before="312" w:beforeLines="100"/>
        <w:ind w:firstLine="480" w:firstLineChars="200"/>
        <w:jc w:val="left"/>
        <w:rPr>
          <w:rFonts w:eastAsia="楷体_GB2312"/>
          <w:sz w:val="24"/>
        </w:rPr>
      </w:pPr>
      <w:r>
        <w:rPr>
          <w:rFonts w:hint="eastAsia" w:eastAsia="楷体_GB2312"/>
          <w:sz w:val="24"/>
        </w:rPr>
        <w:t>交易一方</w:t>
      </w:r>
      <w:r>
        <w:rPr>
          <w:rFonts w:eastAsia="楷体_GB2312"/>
          <w:sz w:val="24"/>
        </w:rPr>
        <w:t>向</w:t>
      </w:r>
      <w:r>
        <w:rPr>
          <w:rFonts w:hint="eastAsia" w:eastAsia="楷体_GB2312"/>
          <w:sz w:val="24"/>
        </w:rPr>
        <w:t>另一方</w:t>
      </w:r>
      <w:r>
        <w:rPr>
          <w:rFonts w:eastAsia="楷体_GB2312"/>
          <w:sz w:val="24"/>
        </w:rPr>
        <w:t>提供的文件是复印件的，应当加盖公司的公章。</w:t>
      </w:r>
    </w:p>
    <w:p w14:paraId="359D9A19">
      <w:pPr>
        <w:autoSpaceDE w:val="0"/>
        <w:autoSpaceDN w:val="0"/>
        <w:adjustRightInd w:val="0"/>
        <w:spacing w:before="312" w:beforeLines="100"/>
        <w:ind w:firstLine="480" w:firstLineChars="200"/>
        <w:rPr>
          <w:rFonts w:eastAsia="楷体_GB2312"/>
          <w:sz w:val="24"/>
        </w:rPr>
      </w:pPr>
      <w:r>
        <w:rPr>
          <w:rFonts w:hint="eastAsia" w:eastAsia="楷体_GB2312"/>
          <w:sz w:val="24"/>
        </w:rPr>
        <w:t>交易一方应</w:t>
      </w:r>
      <w:r>
        <w:rPr>
          <w:rFonts w:eastAsia="楷体_GB2312"/>
          <w:sz w:val="24"/>
        </w:rPr>
        <w:t>在本补充协议签订</w:t>
      </w:r>
      <w:r>
        <w:rPr>
          <w:rFonts w:hint="eastAsia" w:eastAsia="楷体_GB2312"/>
          <w:sz w:val="24"/>
        </w:rPr>
        <w:t>前向另一方</w:t>
      </w:r>
      <w:r>
        <w:rPr>
          <w:rFonts w:eastAsia="楷体_GB2312"/>
          <w:sz w:val="24"/>
        </w:rPr>
        <w:t>提供上述材料。</w:t>
      </w:r>
    </w:p>
    <w:p w14:paraId="75E90FDA">
      <w:pPr>
        <w:autoSpaceDE w:val="0"/>
        <w:autoSpaceDN w:val="0"/>
        <w:adjustRightInd w:val="0"/>
        <w:spacing w:before="312" w:beforeLines="100"/>
        <w:ind w:firstLine="480" w:firstLineChars="200"/>
        <w:rPr>
          <w:rFonts w:eastAsia="楷体_GB2312"/>
          <w:sz w:val="24"/>
        </w:rPr>
      </w:pPr>
    </w:p>
    <w:p w14:paraId="54C61CAB">
      <w:pPr>
        <w:spacing w:before="312" w:beforeLines="100" w:line="300" w:lineRule="auto"/>
        <w:jc w:val="center"/>
        <w:rPr>
          <w:rFonts w:eastAsia="楷体_GB2312"/>
          <w:b/>
          <w:sz w:val="24"/>
        </w:rPr>
      </w:pPr>
      <w:r>
        <w:rPr>
          <w:rFonts w:eastAsia="楷体_GB2312"/>
          <w:b/>
          <w:sz w:val="24"/>
        </w:rPr>
        <w:t>第三条 其他约定</w:t>
      </w:r>
    </w:p>
    <w:p w14:paraId="6F93794B">
      <w:pPr>
        <w:spacing w:before="312" w:beforeLines="100" w:line="300" w:lineRule="auto"/>
        <w:jc w:val="left"/>
        <w:rPr>
          <w:rFonts w:eastAsia="楷体_GB2312"/>
          <w:b/>
          <w:sz w:val="24"/>
        </w:rPr>
      </w:pPr>
      <w:r>
        <w:rPr>
          <w:rFonts w:eastAsia="楷体_GB2312"/>
          <w:b/>
          <w:sz w:val="24"/>
        </w:rPr>
        <w:t>1、通知方式</w:t>
      </w:r>
    </w:p>
    <w:p w14:paraId="1FBE8269">
      <w:pPr>
        <w:spacing w:before="312" w:beforeLines="100"/>
        <w:ind w:firstLine="480" w:firstLineChars="200"/>
        <w:jc w:val="left"/>
        <w:rPr>
          <w:rFonts w:eastAsia="楷体_GB2312"/>
          <w:sz w:val="24"/>
        </w:rPr>
      </w:pPr>
      <w:r>
        <w:rPr>
          <w:rFonts w:eastAsia="楷体_GB2312"/>
          <w:sz w:val="24"/>
        </w:rPr>
        <w:t>双方约定的其他通知方式及通知生效时间：</w:t>
      </w:r>
    </w:p>
    <w:p w14:paraId="2E6F9DCB">
      <w:pPr>
        <w:spacing w:before="312" w:beforeLines="100"/>
        <w:ind w:firstLine="480" w:firstLineChars="200"/>
        <w:jc w:val="left"/>
        <w:rPr>
          <w:rFonts w:eastAsia="宋体"/>
          <w:sz w:val="24"/>
        </w:rPr>
      </w:pPr>
      <w:r>
        <w:rPr>
          <w:rFonts w:eastAsia="楷体_GB2312"/>
          <w:sz w:val="24"/>
        </w:rPr>
        <w:t>主协议第4.1、4.2、7.1条款所述及的任何通知，不得以电子信息系统的方式发送。</w:t>
      </w:r>
    </w:p>
    <w:p w14:paraId="6604DC40">
      <w:pPr>
        <w:spacing w:before="312" w:beforeLines="100"/>
        <w:ind w:firstLine="480" w:firstLineChars="200"/>
        <w:jc w:val="left"/>
        <w:rPr>
          <w:rFonts w:eastAsia="楷体_GB2312"/>
          <w:sz w:val="24"/>
        </w:rPr>
      </w:pPr>
      <w:r>
        <w:rPr>
          <w:rFonts w:eastAsia="楷体_GB2312"/>
          <w:sz w:val="24"/>
        </w:rPr>
        <w:t>为主协议第12.1条的目的，甲方接收通知的方式指：</w:t>
      </w:r>
    </w:p>
    <w:tbl>
      <w:tblPr>
        <w:tblStyle w:val="7"/>
        <w:tblW w:w="7888" w:type="dxa"/>
        <w:tblInd w:w="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7"/>
        <w:gridCol w:w="5791"/>
      </w:tblGrid>
      <w:tr w14:paraId="733F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exact"/>
        </w:trPr>
        <w:tc>
          <w:tcPr>
            <w:tcW w:w="2097" w:type="dxa"/>
            <w:vAlign w:val="center"/>
          </w:tcPr>
          <w:p w14:paraId="3AA0447C">
            <w:pPr>
              <w:spacing w:before="120"/>
              <w:jc w:val="left"/>
              <w:rPr>
                <w:rFonts w:eastAsia="楷体_GB2312"/>
                <w:sz w:val="24"/>
              </w:rPr>
            </w:pPr>
            <w:r>
              <w:rPr>
                <w:rFonts w:eastAsia="楷体_GB2312"/>
                <w:sz w:val="24"/>
              </w:rPr>
              <w:t>通信地址</w:t>
            </w:r>
          </w:p>
        </w:tc>
        <w:tc>
          <w:tcPr>
            <w:tcW w:w="5791" w:type="dxa"/>
            <w:vAlign w:val="center"/>
          </w:tcPr>
          <w:p w14:paraId="370B8959">
            <w:pPr>
              <w:spacing w:before="120"/>
              <w:jc w:val="left"/>
              <w:rPr>
                <w:rFonts w:eastAsia="楷体_GB2312"/>
                <w:sz w:val="24"/>
              </w:rPr>
            </w:pPr>
          </w:p>
        </w:tc>
      </w:tr>
      <w:tr w14:paraId="20C8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2097" w:type="dxa"/>
            <w:vAlign w:val="center"/>
          </w:tcPr>
          <w:p w14:paraId="1B440553">
            <w:pPr>
              <w:spacing w:before="120"/>
              <w:jc w:val="left"/>
              <w:rPr>
                <w:rFonts w:eastAsia="楷体_GB2312"/>
                <w:sz w:val="24"/>
              </w:rPr>
            </w:pPr>
            <w:r>
              <w:rPr>
                <w:rFonts w:eastAsia="楷体_GB2312"/>
                <w:sz w:val="24"/>
              </w:rPr>
              <w:t>收件人</w:t>
            </w:r>
          </w:p>
        </w:tc>
        <w:tc>
          <w:tcPr>
            <w:tcW w:w="5791" w:type="dxa"/>
            <w:vAlign w:val="center"/>
          </w:tcPr>
          <w:p w14:paraId="71399615">
            <w:pPr>
              <w:spacing w:before="120"/>
              <w:jc w:val="left"/>
              <w:rPr>
                <w:rFonts w:eastAsia="楷体_GB2312"/>
                <w:sz w:val="24"/>
              </w:rPr>
            </w:pPr>
          </w:p>
        </w:tc>
      </w:tr>
      <w:tr w14:paraId="6B62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2097" w:type="dxa"/>
            <w:vAlign w:val="center"/>
          </w:tcPr>
          <w:p w14:paraId="5861160B">
            <w:pPr>
              <w:spacing w:before="120"/>
              <w:jc w:val="left"/>
              <w:rPr>
                <w:rFonts w:eastAsia="楷体_GB2312"/>
                <w:sz w:val="24"/>
              </w:rPr>
            </w:pPr>
            <w:r>
              <w:rPr>
                <w:rFonts w:eastAsia="楷体_GB2312"/>
                <w:sz w:val="24"/>
              </w:rPr>
              <w:t>电话</w:t>
            </w:r>
          </w:p>
        </w:tc>
        <w:tc>
          <w:tcPr>
            <w:tcW w:w="5791" w:type="dxa"/>
            <w:vAlign w:val="center"/>
          </w:tcPr>
          <w:p w14:paraId="68D1AB8B">
            <w:pPr>
              <w:spacing w:before="120"/>
              <w:jc w:val="left"/>
              <w:rPr>
                <w:rFonts w:eastAsia="楷体_GB2312"/>
                <w:sz w:val="24"/>
              </w:rPr>
            </w:pPr>
          </w:p>
        </w:tc>
      </w:tr>
      <w:tr w14:paraId="6CB1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2097" w:type="dxa"/>
            <w:vAlign w:val="center"/>
          </w:tcPr>
          <w:p w14:paraId="6AE4853F">
            <w:pPr>
              <w:spacing w:before="120"/>
              <w:jc w:val="left"/>
              <w:rPr>
                <w:rFonts w:eastAsia="楷体_GB2312"/>
                <w:sz w:val="24"/>
              </w:rPr>
            </w:pPr>
            <w:r>
              <w:rPr>
                <w:rFonts w:eastAsia="楷体_GB2312"/>
                <w:sz w:val="24"/>
              </w:rPr>
              <w:t>电子邮件</w:t>
            </w:r>
          </w:p>
        </w:tc>
        <w:tc>
          <w:tcPr>
            <w:tcW w:w="5791" w:type="dxa"/>
            <w:vAlign w:val="center"/>
          </w:tcPr>
          <w:p w14:paraId="39DFE87A">
            <w:pPr>
              <w:spacing w:before="120"/>
              <w:jc w:val="left"/>
              <w:rPr>
                <w:rFonts w:eastAsia="楷体_GB2312"/>
                <w:sz w:val="24"/>
              </w:rPr>
            </w:pPr>
          </w:p>
        </w:tc>
      </w:tr>
      <w:tr w14:paraId="0858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2097" w:type="dxa"/>
            <w:vAlign w:val="center"/>
          </w:tcPr>
          <w:p w14:paraId="0308DA70">
            <w:pPr>
              <w:spacing w:before="120"/>
              <w:jc w:val="left"/>
              <w:rPr>
                <w:rFonts w:eastAsia="楷体_GB2312"/>
                <w:sz w:val="24"/>
              </w:rPr>
            </w:pPr>
            <w:r>
              <w:rPr>
                <w:rFonts w:eastAsia="楷体_GB2312"/>
                <w:sz w:val="24"/>
              </w:rPr>
              <w:t>电子信息系统</w:t>
            </w:r>
          </w:p>
        </w:tc>
        <w:tc>
          <w:tcPr>
            <w:tcW w:w="5791" w:type="dxa"/>
            <w:vAlign w:val="center"/>
          </w:tcPr>
          <w:p w14:paraId="143FE8A0">
            <w:pPr>
              <w:spacing w:before="120"/>
              <w:jc w:val="left"/>
              <w:rPr>
                <w:rFonts w:eastAsia="楷体_GB2312"/>
                <w:sz w:val="24"/>
              </w:rPr>
            </w:pPr>
          </w:p>
        </w:tc>
      </w:tr>
    </w:tbl>
    <w:p w14:paraId="4DCED5DA">
      <w:pPr>
        <w:spacing w:before="312" w:beforeLines="100" w:line="300" w:lineRule="auto"/>
        <w:ind w:firstLine="480" w:firstLineChars="200"/>
        <w:jc w:val="left"/>
        <w:rPr>
          <w:rFonts w:eastAsia="楷体_GB2312"/>
          <w:sz w:val="24"/>
        </w:rPr>
      </w:pPr>
      <w:r>
        <w:rPr>
          <w:rFonts w:eastAsia="楷体_GB2312"/>
          <w:sz w:val="24"/>
        </w:rPr>
        <w:t>为主协议第12.1条的目的，乙方接收通知的方式指：</w:t>
      </w:r>
    </w:p>
    <w:tbl>
      <w:tblPr>
        <w:tblStyle w:val="7"/>
        <w:tblW w:w="7754" w:type="dxa"/>
        <w:tblInd w:w="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0"/>
        <w:gridCol w:w="5644"/>
      </w:tblGrid>
      <w:tr w14:paraId="7159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110" w:type="dxa"/>
          </w:tcPr>
          <w:p w14:paraId="1DB0E0C6">
            <w:pPr>
              <w:spacing w:before="120"/>
              <w:jc w:val="left"/>
              <w:rPr>
                <w:sz w:val="24"/>
              </w:rPr>
            </w:pPr>
            <w:r>
              <w:rPr>
                <w:rFonts w:eastAsia="楷体_GB2312"/>
                <w:sz w:val="24"/>
              </w:rPr>
              <w:t>通信地址</w:t>
            </w:r>
          </w:p>
        </w:tc>
        <w:tc>
          <w:tcPr>
            <w:tcW w:w="5644" w:type="dxa"/>
          </w:tcPr>
          <w:p w14:paraId="37A0F826">
            <w:pPr>
              <w:spacing w:before="120"/>
              <w:jc w:val="left"/>
              <w:rPr>
                <w:rFonts w:eastAsia="楷体_GB2312"/>
                <w:sz w:val="24"/>
              </w:rPr>
            </w:pPr>
          </w:p>
        </w:tc>
      </w:tr>
      <w:tr w14:paraId="41F9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110" w:type="dxa"/>
          </w:tcPr>
          <w:p w14:paraId="3372C35E">
            <w:pPr>
              <w:spacing w:before="120"/>
              <w:jc w:val="left"/>
              <w:rPr>
                <w:rFonts w:eastAsia="楷体_GB2312"/>
                <w:sz w:val="24"/>
              </w:rPr>
            </w:pPr>
            <w:r>
              <w:rPr>
                <w:rFonts w:eastAsia="楷体_GB2312"/>
                <w:sz w:val="24"/>
              </w:rPr>
              <w:t>收件人</w:t>
            </w:r>
          </w:p>
        </w:tc>
        <w:tc>
          <w:tcPr>
            <w:tcW w:w="5644" w:type="dxa"/>
          </w:tcPr>
          <w:p w14:paraId="3F49B9AA">
            <w:pPr>
              <w:spacing w:before="120"/>
              <w:jc w:val="left"/>
              <w:rPr>
                <w:rFonts w:eastAsia="楷体_GB2312"/>
                <w:sz w:val="24"/>
              </w:rPr>
            </w:pPr>
          </w:p>
        </w:tc>
      </w:tr>
      <w:tr w14:paraId="1D9A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10" w:type="dxa"/>
          </w:tcPr>
          <w:p w14:paraId="22097948">
            <w:pPr>
              <w:spacing w:before="120"/>
              <w:jc w:val="left"/>
              <w:rPr>
                <w:rFonts w:eastAsia="楷体_GB2312"/>
                <w:sz w:val="24"/>
              </w:rPr>
            </w:pPr>
            <w:r>
              <w:rPr>
                <w:rFonts w:eastAsia="楷体_GB2312"/>
                <w:sz w:val="24"/>
              </w:rPr>
              <w:t>电话</w:t>
            </w:r>
          </w:p>
        </w:tc>
        <w:tc>
          <w:tcPr>
            <w:tcW w:w="5644" w:type="dxa"/>
          </w:tcPr>
          <w:p w14:paraId="43028284">
            <w:pPr>
              <w:spacing w:before="312" w:beforeLines="100"/>
              <w:jc w:val="left"/>
              <w:rPr>
                <w:rFonts w:eastAsia="楷体_GB2312"/>
                <w:sz w:val="24"/>
              </w:rPr>
            </w:pPr>
          </w:p>
        </w:tc>
      </w:tr>
      <w:tr w14:paraId="66F8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110" w:type="dxa"/>
          </w:tcPr>
          <w:p w14:paraId="336AB962">
            <w:pPr>
              <w:spacing w:before="120"/>
              <w:jc w:val="left"/>
              <w:rPr>
                <w:rFonts w:eastAsia="楷体_GB2312"/>
                <w:sz w:val="24"/>
              </w:rPr>
            </w:pPr>
            <w:r>
              <w:rPr>
                <w:rFonts w:eastAsia="楷体_GB2312"/>
                <w:sz w:val="24"/>
              </w:rPr>
              <w:t>电子邮件</w:t>
            </w:r>
          </w:p>
        </w:tc>
        <w:tc>
          <w:tcPr>
            <w:tcW w:w="5644" w:type="dxa"/>
          </w:tcPr>
          <w:p w14:paraId="49014ECE">
            <w:pPr>
              <w:spacing w:before="120"/>
              <w:jc w:val="left"/>
              <w:rPr>
                <w:rFonts w:eastAsia="楷体_GB2312"/>
                <w:sz w:val="24"/>
              </w:rPr>
            </w:pPr>
          </w:p>
        </w:tc>
      </w:tr>
      <w:tr w14:paraId="7814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110" w:type="dxa"/>
          </w:tcPr>
          <w:p w14:paraId="32896220">
            <w:pPr>
              <w:spacing w:before="120"/>
              <w:jc w:val="left"/>
              <w:rPr>
                <w:rFonts w:eastAsia="楷体_GB2312"/>
                <w:sz w:val="24"/>
              </w:rPr>
            </w:pPr>
            <w:r>
              <w:rPr>
                <w:rFonts w:eastAsia="楷体_GB2312"/>
                <w:sz w:val="24"/>
              </w:rPr>
              <w:t>电子信息系统</w:t>
            </w:r>
          </w:p>
        </w:tc>
        <w:tc>
          <w:tcPr>
            <w:tcW w:w="5644" w:type="dxa"/>
          </w:tcPr>
          <w:p w14:paraId="01EF307E">
            <w:pPr>
              <w:spacing w:before="120"/>
              <w:jc w:val="left"/>
              <w:rPr>
                <w:rFonts w:eastAsia="楷体_GB2312"/>
                <w:sz w:val="24"/>
              </w:rPr>
            </w:pPr>
          </w:p>
        </w:tc>
      </w:tr>
    </w:tbl>
    <w:p w14:paraId="20633772">
      <w:pPr>
        <w:spacing w:before="312" w:beforeLines="100"/>
        <w:ind w:firstLine="480" w:firstLineChars="200"/>
        <w:jc w:val="left"/>
        <w:rPr>
          <w:rFonts w:eastAsia="楷体_GB2312"/>
          <w:sz w:val="24"/>
        </w:rPr>
      </w:pPr>
      <w:r>
        <w:rPr>
          <w:rFonts w:eastAsia="楷体_GB2312"/>
          <w:sz w:val="24"/>
        </w:rPr>
        <w:t>若上述任何通知送达或接收的时间为接收方非正常办公营业日（“接收方营业日”）或当日营业时间结束后，则相关通知的生效日为该日后的首个接收方营业日。</w:t>
      </w:r>
    </w:p>
    <w:p w14:paraId="78D887BF">
      <w:pPr>
        <w:spacing w:before="312" w:beforeLines="100" w:line="300" w:lineRule="auto"/>
        <w:jc w:val="left"/>
        <w:rPr>
          <w:rFonts w:eastAsia="楷体_GB2312"/>
          <w:sz w:val="24"/>
        </w:rPr>
      </w:pPr>
      <w:r>
        <w:rPr>
          <w:rFonts w:eastAsia="楷体_GB2312"/>
          <w:b/>
          <w:sz w:val="24"/>
        </w:rPr>
        <w:t>2</w:t>
      </w:r>
      <w:r>
        <w:rPr>
          <w:rFonts w:eastAsia="楷体_GB2312"/>
          <w:sz w:val="24"/>
        </w:rPr>
        <w:t>、</w:t>
      </w:r>
      <w:r>
        <w:rPr>
          <w:rFonts w:eastAsia="楷体_GB2312"/>
          <w:b/>
          <w:sz w:val="24"/>
        </w:rPr>
        <w:t>与主协议</w:t>
      </w:r>
      <w:r>
        <w:rPr>
          <w:rFonts w:eastAsia="楷体_GB2312"/>
          <w:sz w:val="24"/>
        </w:rPr>
        <w:t>有关的“</w:t>
      </w:r>
      <w:r>
        <w:rPr>
          <w:rFonts w:eastAsia="楷体_GB2312"/>
          <w:b/>
          <w:sz w:val="24"/>
        </w:rPr>
        <w:t>履约保障协议</w:t>
      </w:r>
      <w:r>
        <w:rPr>
          <w:rFonts w:eastAsia="楷体_GB2312"/>
          <w:sz w:val="24"/>
        </w:rPr>
        <w:t>”指：</w:t>
      </w:r>
    </w:p>
    <w:p w14:paraId="5CB30572">
      <w:pPr>
        <w:spacing w:before="312" w:beforeLines="100"/>
        <w:ind w:firstLine="556"/>
        <w:jc w:val="left"/>
        <w:rPr>
          <w:rFonts w:eastAsia="楷体_GB2312"/>
          <w:sz w:val="24"/>
        </w:rPr>
      </w:pPr>
      <w:r>
        <w:rPr>
          <w:rFonts w:hint="eastAsia" w:eastAsia="楷体_GB2312"/>
          <w:sz w:val="24"/>
        </w:rPr>
        <w:t>交易一方或其履约保障提供方不时签署的履约保障协议、担保协议、担保函等具有增强交易一方在本协议下履约能力的法律文件。</w:t>
      </w:r>
    </w:p>
    <w:p w14:paraId="5BA45836">
      <w:pPr>
        <w:spacing w:before="312" w:beforeLines="100" w:line="300" w:lineRule="auto"/>
        <w:jc w:val="left"/>
        <w:rPr>
          <w:rFonts w:eastAsia="楷体_GB2312"/>
          <w:sz w:val="24"/>
        </w:rPr>
      </w:pPr>
      <w:r>
        <w:rPr>
          <w:rFonts w:eastAsia="楷体_GB2312"/>
          <w:b/>
          <w:sz w:val="24"/>
        </w:rPr>
        <w:t>3</w:t>
      </w:r>
      <w:r>
        <w:rPr>
          <w:rFonts w:eastAsia="楷体_GB2312"/>
          <w:sz w:val="24"/>
        </w:rPr>
        <w:t>、“</w:t>
      </w:r>
      <w:r>
        <w:rPr>
          <w:rFonts w:eastAsia="楷体_GB2312"/>
          <w:b/>
          <w:sz w:val="24"/>
        </w:rPr>
        <w:t>履约保障提供方”</w:t>
      </w:r>
    </w:p>
    <w:p w14:paraId="303AF162">
      <w:pPr>
        <w:spacing w:before="312" w:beforeLines="100"/>
        <w:ind w:firstLine="555"/>
        <w:jc w:val="left"/>
        <w:rPr>
          <w:rFonts w:ascii="楷体" w:hAnsi="楷体" w:eastAsia="楷体"/>
          <w:sz w:val="24"/>
        </w:rPr>
      </w:pPr>
      <w:r>
        <w:rPr>
          <w:rFonts w:hint="eastAsia" w:ascii="楷体" w:hAnsi="楷体" w:eastAsia="楷体"/>
          <w:sz w:val="24"/>
        </w:rPr>
        <w:t>根据</w:t>
      </w:r>
      <w:r>
        <w:rPr>
          <w:rFonts w:hint="eastAsia" w:ascii="楷体" w:hAnsi="楷体" w:eastAsia="楷体"/>
          <w:b/>
          <w:sz w:val="24"/>
        </w:rPr>
        <w:t>履约保障协议</w:t>
      </w:r>
      <w:r>
        <w:rPr>
          <w:rFonts w:hint="eastAsia" w:ascii="楷体" w:hAnsi="楷体" w:eastAsia="楷体"/>
          <w:sz w:val="24"/>
        </w:rPr>
        <w:t>的约定为交易一方向另一方提供履约保障的任何主体。</w:t>
      </w:r>
    </w:p>
    <w:p w14:paraId="72AD7877">
      <w:pPr>
        <w:spacing w:before="312" w:beforeLines="100" w:line="300" w:lineRule="auto"/>
        <w:jc w:val="left"/>
        <w:rPr>
          <w:rFonts w:eastAsia="楷体_GB2312"/>
          <w:sz w:val="24"/>
        </w:rPr>
      </w:pPr>
      <w:r>
        <w:rPr>
          <w:rFonts w:eastAsia="楷体_GB2312"/>
          <w:b/>
          <w:sz w:val="24"/>
        </w:rPr>
        <w:t>4</w:t>
      </w:r>
      <w:r>
        <w:rPr>
          <w:rFonts w:eastAsia="楷体_GB2312"/>
          <w:sz w:val="24"/>
        </w:rPr>
        <w:t>、</w:t>
      </w:r>
      <w:r>
        <w:rPr>
          <w:rFonts w:eastAsia="楷体_GB2312"/>
          <w:b/>
          <w:sz w:val="24"/>
        </w:rPr>
        <w:t>净额支付</w:t>
      </w:r>
    </w:p>
    <w:p w14:paraId="429AF8E3">
      <w:pPr>
        <w:spacing w:before="312" w:beforeLines="100"/>
        <w:ind w:firstLine="556"/>
        <w:jc w:val="left"/>
        <w:rPr>
          <w:rFonts w:eastAsia="楷体_GB2312"/>
          <w:sz w:val="24"/>
        </w:rPr>
      </w:pPr>
      <w:r>
        <w:rPr>
          <w:rFonts w:eastAsia="楷体_GB2312"/>
          <w:sz w:val="24"/>
        </w:rPr>
        <w:t>第3.2条 “多笔交易的净额结算”【是】适用；</w:t>
      </w:r>
    </w:p>
    <w:p w14:paraId="62FFDC77">
      <w:pPr>
        <w:spacing w:before="312" w:beforeLines="100"/>
        <w:ind w:firstLine="480" w:firstLineChars="200"/>
        <w:jc w:val="left"/>
        <w:rPr>
          <w:rFonts w:eastAsia="楷体_GB2312"/>
          <w:sz w:val="24"/>
        </w:rPr>
      </w:pPr>
      <w:r>
        <w:rPr>
          <w:rFonts w:eastAsia="楷体_GB2312"/>
          <w:sz w:val="24"/>
        </w:rPr>
        <w:t>若适用，其适用的范围指：【所有交易】</w:t>
      </w:r>
      <w:r>
        <w:rPr>
          <w:rFonts w:hint="eastAsia" w:eastAsia="楷体_GB2312"/>
          <w:sz w:val="24"/>
        </w:rPr>
        <w:t>，</w:t>
      </w:r>
      <w:r>
        <w:rPr>
          <w:rFonts w:hint="eastAsia" w:ascii="楷体" w:hAnsi="楷体" w:eastAsia="楷体"/>
          <w:sz w:val="24"/>
        </w:rPr>
        <w:t>由双方协商确认采用非净额结算的交易除外。</w:t>
      </w:r>
    </w:p>
    <w:p w14:paraId="193A69BD">
      <w:pPr>
        <w:spacing w:before="312" w:beforeLines="100"/>
        <w:ind w:firstLine="480" w:firstLineChars="200"/>
        <w:jc w:val="left"/>
        <w:rPr>
          <w:rFonts w:eastAsia="楷体_GB2312"/>
          <w:sz w:val="24"/>
        </w:rPr>
      </w:pPr>
      <w:r>
        <w:rPr>
          <w:rFonts w:eastAsia="楷体_GB2312"/>
          <w:sz w:val="24"/>
        </w:rPr>
        <w:t>上述各项交易净额支付自【</w:t>
      </w:r>
      <w:r>
        <w:rPr>
          <w:rFonts w:hint="eastAsia" w:eastAsia="楷体_GB2312"/>
          <w:b/>
          <w:bCs/>
          <w:sz w:val="24"/>
        </w:rPr>
        <w:t>主协议</w:t>
      </w:r>
      <w:r>
        <w:rPr>
          <w:rFonts w:eastAsia="楷体_GB2312"/>
          <w:sz w:val="24"/>
        </w:rPr>
        <w:t>签署日期】起。</w:t>
      </w:r>
    </w:p>
    <w:p w14:paraId="77D7A4CD">
      <w:pPr>
        <w:spacing w:before="312" w:beforeLines="100"/>
        <w:jc w:val="left"/>
        <w:rPr>
          <w:rFonts w:eastAsia="楷体_GB2312"/>
          <w:sz w:val="24"/>
        </w:rPr>
      </w:pPr>
      <w:r>
        <w:rPr>
          <w:rFonts w:hint="eastAsia" w:eastAsia="楷体_GB2312"/>
          <w:b/>
          <w:sz w:val="24"/>
        </w:rPr>
        <w:t>5</w:t>
      </w:r>
      <w:r>
        <w:rPr>
          <w:rFonts w:eastAsia="楷体_GB2312"/>
          <w:sz w:val="24"/>
        </w:rPr>
        <w:t>、“</w:t>
      </w:r>
      <w:r>
        <w:rPr>
          <w:rFonts w:hint="eastAsia" w:eastAsia="楷体_GB2312"/>
          <w:b/>
          <w:sz w:val="24"/>
        </w:rPr>
        <w:t>电话录音</w:t>
      </w:r>
      <w:r>
        <w:rPr>
          <w:rFonts w:eastAsia="楷体_GB2312"/>
          <w:sz w:val="24"/>
        </w:rPr>
        <w:t>”：</w:t>
      </w:r>
    </w:p>
    <w:p w14:paraId="14DA7D57">
      <w:pPr>
        <w:spacing w:before="312" w:beforeLines="100"/>
        <w:ind w:firstLine="556"/>
        <w:jc w:val="left"/>
        <w:rPr>
          <w:rFonts w:eastAsia="楷体_GB2312"/>
          <w:sz w:val="24"/>
        </w:rPr>
      </w:pPr>
      <w:r>
        <w:rPr>
          <w:rFonts w:hint="eastAsia" w:ascii="楷体" w:hAnsi="楷体" w:eastAsia="楷体"/>
          <w:sz w:val="24"/>
        </w:rPr>
        <w:t>除非交易双方另有约定，交易一方可对交易双方之间就本协议项下交易或任何潜在交易的电话交谈进行录音，并可在不违反中国法律的前提下在争议解决过程中出具该等录音作为证据。</w:t>
      </w:r>
    </w:p>
    <w:p w14:paraId="0B140D85">
      <w:pPr>
        <w:spacing w:before="312" w:beforeLines="100"/>
        <w:jc w:val="left"/>
        <w:rPr>
          <w:rFonts w:eastAsia="楷体_GB2312"/>
          <w:sz w:val="24"/>
        </w:rPr>
      </w:pPr>
      <w:r>
        <w:rPr>
          <w:rFonts w:hint="eastAsia" w:eastAsia="楷体_GB2312"/>
          <w:b/>
          <w:sz w:val="24"/>
        </w:rPr>
        <w:t>6</w:t>
      </w:r>
      <w:r>
        <w:rPr>
          <w:rFonts w:eastAsia="楷体_GB2312"/>
          <w:sz w:val="24"/>
        </w:rPr>
        <w:t>、“</w:t>
      </w:r>
      <w:r>
        <w:rPr>
          <w:rFonts w:eastAsia="楷体_GB2312"/>
          <w:b/>
          <w:sz w:val="24"/>
        </w:rPr>
        <w:t>关联方</w:t>
      </w:r>
      <w:r>
        <w:rPr>
          <w:rFonts w:eastAsia="楷体_GB2312"/>
          <w:sz w:val="24"/>
        </w:rPr>
        <w:t>”：</w:t>
      </w:r>
    </w:p>
    <w:p w14:paraId="6EB2431E">
      <w:pPr>
        <w:spacing w:before="312" w:beforeLines="100"/>
        <w:ind w:firstLine="556"/>
        <w:jc w:val="left"/>
        <w:rPr>
          <w:rFonts w:eastAsia="楷体_GB2312"/>
          <w:sz w:val="24"/>
        </w:rPr>
      </w:pPr>
      <w:r>
        <w:rPr>
          <w:rFonts w:eastAsia="楷体_GB2312"/>
          <w:sz w:val="24"/>
        </w:rPr>
        <w:t>【同主协议第十四条定义条款中“关联方”的含义】</w:t>
      </w:r>
    </w:p>
    <w:p w14:paraId="18B8761E">
      <w:pPr>
        <w:spacing w:before="312" w:beforeLines="100" w:line="300" w:lineRule="auto"/>
        <w:jc w:val="left"/>
        <w:rPr>
          <w:rFonts w:eastAsia="楷体_GB2312"/>
          <w:sz w:val="24"/>
        </w:rPr>
      </w:pPr>
      <w:r>
        <w:rPr>
          <w:rFonts w:hint="eastAsia" w:eastAsia="楷体_GB2312"/>
          <w:b/>
          <w:sz w:val="24"/>
        </w:rPr>
        <w:t>7</w:t>
      </w:r>
      <w:r>
        <w:rPr>
          <w:rFonts w:eastAsia="楷体_GB2312"/>
          <w:sz w:val="24"/>
        </w:rPr>
        <w:t>、</w:t>
      </w:r>
      <w:r>
        <w:rPr>
          <w:rFonts w:eastAsia="楷体_GB2312"/>
          <w:b/>
          <w:sz w:val="24"/>
        </w:rPr>
        <w:t>其他陈述</w:t>
      </w:r>
    </w:p>
    <w:p w14:paraId="786B725C">
      <w:pPr>
        <w:spacing w:before="312" w:beforeLines="100"/>
        <w:ind w:firstLine="556"/>
        <w:jc w:val="left"/>
        <w:rPr>
          <w:rFonts w:eastAsia="楷体_GB2312"/>
          <w:sz w:val="24"/>
        </w:rPr>
      </w:pPr>
      <w:r>
        <w:rPr>
          <w:rFonts w:eastAsia="楷体_GB2312"/>
          <w:sz w:val="24"/>
        </w:rPr>
        <w:t>【是】适用；</w:t>
      </w:r>
    </w:p>
    <w:p w14:paraId="5EE34B0E">
      <w:pPr>
        <w:spacing w:before="312" w:beforeLines="100"/>
        <w:ind w:firstLine="556"/>
        <w:jc w:val="left"/>
        <w:rPr>
          <w:rFonts w:eastAsia="楷体_GB2312"/>
          <w:sz w:val="24"/>
        </w:rPr>
      </w:pPr>
      <w:r>
        <w:rPr>
          <w:rFonts w:eastAsia="楷体_GB2312"/>
          <w:sz w:val="24"/>
        </w:rPr>
        <w:t>为主协议第十条的目的，</w:t>
      </w:r>
      <w:r>
        <w:rPr>
          <w:rFonts w:hint="eastAsia" w:eastAsia="楷体_GB2312"/>
          <w:sz w:val="24"/>
        </w:rPr>
        <w:t>交易一方向对方</w:t>
      </w:r>
      <w:r>
        <w:rPr>
          <w:rFonts w:eastAsia="楷体_GB2312"/>
          <w:sz w:val="24"/>
        </w:rPr>
        <w:t>做出下述陈述：</w:t>
      </w:r>
    </w:p>
    <w:p w14:paraId="3B66BFAC">
      <w:pPr>
        <w:spacing w:before="312" w:beforeLines="100"/>
        <w:ind w:firstLine="556"/>
        <w:jc w:val="left"/>
        <w:rPr>
          <w:rFonts w:eastAsia="楷体_GB2312"/>
          <w:sz w:val="24"/>
        </w:rPr>
      </w:pPr>
      <w:bookmarkStart w:id="4" w:name="OLE_LINK42"/>
      <w:bookmarkStart w:id="5" w:name="OLE_LINK41"/>
      <w:r>
        <w:rPr>
          <w:rFonts w:eastAsia="楷体_GB2312"/>
          <w:sz w:val="24"/>
        </w:rPr>
        <w:t>（1）其代表自己行事，自行独立决定进行交易，并且自行判断、决定该交易是否恰当或适宜。一方从另一方收到的任何通讯（无论书面的或口头的）都不应被视为投资建议、或关于交易的预期结果的承诺或保证。</w:t>
      </w:r>
    </w:p>
    <w:p w14:paraId="3DD65E5E">
      <w:pPr>
        <w:spacing w:before="312" w:beforeLines="100"/>
        <w:ind w:firstLine="556"/>
        <w:jc w:val="left"/>
        <w:rPr>
          <w:rFonts w:eastAsia="楷体_GB2312"/>
          <w:sz w:val="24"/>
        </w:rPr>
      </w:pPr>
      <w:r>
        <w:rPr>
          <w:rFonts w:eastAsia="楷体_GB2312"/>
          <w:sz w:val="24"/>
        </w:rPr>
        <w:t>（2）其应遵守任何适用的法律法规，其确认违反该等法律法规将对其履行本协议下重要的义务造成重大不利影响；其应尽合理的努力获得且保有本协议所要求的一切必要的政府或其他监管机构的许可。</w:t>
      </w:r>
      <w:bookmarkEnd w:id="4"/>
      <w:bookmarkEnd w:id="5"/>
    </w:p>
    <w:p w14:paraId="51286991">
      <w:pPr>
        <w:spacing w:before="312" w:beforeLines="100"/>
        <w:ind w:firstLine="556"/>
        <w:jc w:val="left"/>
        <w:rPr>
          <w:rFonts w:eastAsia="楷体_GB2312"/>
          <w:sz w:val="24"/>
        </w:rPr>
      </w:pPr>
      <w:r>
        <w:rPr>
          <w:rFonts w:hint="eastAsia" w:eastAsia="楷体_GB2312"/>
          <w:sz w:val="24"/>
        </w:rPr>
        <w:t>（3）其资金来源为依法依规取得或募集的资金，不存在非法汇集他人资金或违反反洗钱规定的有关情况。</w:t>
      </w:r>
    </w:p>
    <w:p w14:paraId="1459DAF5">
      <w:pPr>
        <w:spacing w:before="312" w:beforeLines="100"/>
        <w:ind w:firstLine="555"/>
        <w:jc w:val="left"/>
        <w:rPr>
          <w:rFonts w:eastAsia="楷体_GB2312"/>
          <w:sz w:val="24"/>
        </w:rPr>
      </w:pPr>
      <w:r>
        <w:rPr>
          <w:rFonts w:hint="eastAsia" w:eastAsia="楷体_GB2312"/>
          <w:sz w:val="24"/>
        </w:rPr>
        <w:t>为</w:t>
      </w:r>
      <w:r>
        <w:rPr>
          <w:rFonts w:hint="eastAsia" w:eastAsia="楷体_GB2312"/>
          <w:b/>
          <w:sz w:val="24"/>
        </w:rPr>
        <w:t>主协议</w:t>
      </w:r>
      <w:r>
        <w:rPr>
          <w:rFonts w:hint="eastAsia" w:eastAsia="楷体_GB2312"/>
          <w:sz w:val="24"/>
        </w:rPr>
        <w:t>第十条的目的，交易一方向交易另一方另外做出下述免责声明：</w:t>
      </w:r>
    </w:p>
    <w:p w14:paraId="396EDB47">
      <w:pPr>
        <w:spacing w:before="100" w:beforeAutospacing="1" w:after="100" w:afterAutospacing="1"/>
        <w:ind w:firstLine="480" w:firstLineChars="200"/>
        <w:rPr>
          <w:rFonts w:eastAsia="楷体_GB2312"/>
          <w:sz w:val="24"/>
        </w:rPr>
      </w:pPr>
      <w:r>
        <w:rPr>
          <w:rFonts w:hint="eastAsia" w:eastAsia="楷体_GB2312"/>
          <w:sz w:val="24"/>
        </w:rPr>
        <w:t>交易一方仅对交易另一方的衍生品交易指令进行形式审核，不对其的实际交易意图及行为后果承担任何法律责任，且在其出现不当行为时，交易一方有权终止交易并对交易头寸予以强行平仓，强行平仓所有费用和损失皆由交易另一方承担，交易另一方的不当行为包括但不限于：</w:t>
      </w:r>
    </w:p>
    <w:p w14:paraId="57B14A87">
      <w:pPr>
        <w:spacing w:before="100" w:beforeAutospacing="1" w:after="100" w:afterAutospacing="1"/>
        <w:ind w:firstLine="480" w:firstLineChars="200"/>
        <w:rPr>
          <w:rFonts w:eastAsia="楷体_GB2312"/>
          <w:sz w:val="24"/>
        </w:rPr>
      </w:pPr>
      <w:r>
        <w:rPr>
          <w:rFonts w:hint="eastAsia" w:eastAsia="楷体_GB2312"/>
          <w:sz w:val="24"/>
        </w:rPr>
        <w:t>（</w:t>
      </w:r>
      <w:r>
        <w:rPr>
          <w:rFonts w:eastAsia="楷体_GB2312"/>
          <w:sz w:val="24"/>
        </w:rPr>
        <w:t>1</w:t>
      </w:r>
      <w:r>
        <w:rPr>
          <w:rFonts w:hint="eastAsia" w:eastAsia="楷体_GB2312"/>
          <w:sz w:val="24"/>
        </w:rPr>
        <w:t>）单独或与他人合谋通过场外衍生品的方式或与其他方式配合进行股票分仓，以规避相关的信息披露、交易限制、交易禁止等规定的行为；</w:t>
      </w:r>
    </w:p>
    <w:p w14:paraId="2CCBDFF9">
      <w:pPr>
        <w:spacing w:before="100" w:beforeAutospacing="1" w:after="100" w:afterAutospacing="1"/>
        <w:ind w:firstLine="480" w:firstLineChars="200"/>
        <w:rPr>
          <w:rFonts w:eastAsia="楷体_GB2312"/>
          <w:sz w:val="24"/>
        </w:rPr>
      </w:pPr>
      <w:r>
        <w:rPr>
          <w:rFonts w:hint="eastAsia" w:eastAsia="楷体_GB2312"/>
          <w:sz w:val="24"/>
        </w:rPr>
        <w:t>（</w:t>
      </w:r>
      <w:r>
        <w:rPr>
          <w:rFonts w:eastAsia="楷体_GB2312"/>
          <w:sz w:val="24"/>
        </w:rPr>
        <w:t>2</w:t>
      </w:r>
      <w:r>
        <w:rPr>
          <w:rFonts w:hint="eastAsia" w:eastAsia="楷体_GB2312"/>
          <w:sz w:val="24"/>
        </w:rPr>
        <w:t>）单独或与他人合谋通过场外衍生品的方式或与其他方式配合进行市场操纵等扰乱金融市场的行为；</w:t>
      </w:r>
    </w:p>
    <w:p w14:paraId="54FDBB1F">
      <w:pPr>
        <w:spacing w:before="100" w:beforeAutospacing="1" w:after="100" w:afterAutospacing="1"/>
        <w:ind w:firstLine="480" w:firstLineChars="200"/>
        <w:rPr>
          <w:rFonts w:eastAsia="楷体_GB2312"/>
          <w:sz w:val="24"/>
        </w:rPr>
      </w:pPr>
      <w:r>
        <w:rPr>
          <w:rFonts w:hint="eastAsia" w:eastAsia="楷体_GB2312"/>
          <w:sz w:val="24"/>
        </w:rPr>
        <w:t>（</w:t>
      </w:r>
      <w:r>
        <w:rPr>
          <w:rFonts w:eastAsia="楷体_GB2312"/>
          <w:sz w:val="24"/>
        </w:rPr>
        <w:t>3</w:t>
      </w:r>
      <w:r>
        <w:rPr>
          <w:rFonts w:hint="eastAsia" w:eastAsia="楷体_GB2312"/>
          <w:sz w:val="24"/>
        </w:rPr>
        <w:t>）单独或与他人合谋利用内幕信息或价格敏感信息通过场外衍生品方式或与其他方式配合进行内幕交易的行为；</w:t>
      </w:r>
    </w:p>
    <w:p w14:paraId="373AF7AB">
      <w:pPr>
        <w:spacing w:before="100" w:beforeAutospacing="1" w:after="100" w:afterAutospacing="1"/>
        <w:ind w:firstLine="480" w:firstLineChars="200"/>
        <w:rPr>
          <w:rFonts w:eastAsia="楷体_GB2312"/>
          <w:sz w:val="24"/>
        </w:rPr>
      </w:pPr>
      <w:r>
        <w:rPr>
          <w:rFonts w:hint="eastAsia" w:eastAsia="楷体_GB2312"/>
          <w:sz w:val="24"/>
        </w:rPr>
        <w:t>（</w:t>
      </w:r>
      <w:r>
        <w:rPr>
          <w:rFonts w:eastAsia="楷体_GB2312"/>
          <w:sz w:val="24"/>
        </w:rPr>
        <w:t>4</w:t>
      </w:r>
      <w:r>
        <w:rPr>
          <w:rFonts w:hint="eastAsia" w:eastAsia="楷体_GB2312"/>
          <w:sz w:val="24"/>
        </w:rPr>
        <w:t>）单独或与他人合谋通过场外</w:t>
      </w:r>
      <w:r>
        <w:rPr>
          <w:rFonts w:eastAsia="楷体_GB2312"/>
          <w:sz w:val="24"/>
        </w:rPr>
        <w:t>衍生品</w:t>
      </w:r>
      <w:r>
        <w:rPr>
          <w:rFonts w:hint="eastAsia" w:eastAsia="楷体_GB2312"/>
          <w:sz w:val="24"/>
        </w:rPr>
        <w:t>的方式或与其他方式配合进行利益输送的行为；</w:t>
      </w:r>
    </w:p>
    <w:p w14:paraId="0CF7BBF1">
      <w:pPr>
        <w:spacing w:before="100" w:beforeAutospacing="1" w:after="100" w:afterAutospacing="1"/>
        <w:ind w:firstLine="480" w:firstLineChars="200"/>
        <w:rPr>
          <w:sz w:val="24"/>
        </w:rPr>
      </w:pPr>
      <w:r>
        <w:rPr>
          <w:rFonts w:hint="eastAsia" w:eastAsia="楷体_GB2312"/>
          <w:sz w:val="24"/>
        </w:rPr>
        <w:t>（</w:t>
      </w:r>
      <w:r>
        <w:rPr>
          <w:rFonts w:eastAsia="楷体_GB2312"/>
          <w:sz w:val="24"/>
        </w:rPr>
        <w:t>5</w:t>
      </w:r>
      <w:r>
        <w:rPr>
          <w:rFonts w:hint="eastAsia" w:eastAsia="楷体_GB2312"/>
          <w:sz w:val="24"/>
        </w:rPr>
        <w:t>）其他法律、法规、监管规定、自律规则以及监管机构认为属于不正当的交易行为，或涉嫌违反有关法律、法规、监管规定、自律规则的行为。</w:t>
      </w:r>
    </w:p>
    <w:p w14:paraId="1AE72675">
      <w:pPr>
        <w:spacing w:before="312" w:beforeLines="100"/>
        <w:ind w:firstLine="555"/>
        <w:jc w:val="left"/>
        <w:rPr>
          <w:rFonts w:eastAsia="楷体_GB2312"/>
          <w:sz w:val="24"/>
        </w:rPr>
      </w:pPr>
      <w:r>
        <w:rPr>
          <w:rFonts w:hint="eastAsia" w:eastAsia="楷体_GB2312"/>
          <w:sz w:val="24"/>
        </w:rPr>
        <w:t>为</w:t>
      </w:r>
      <w:r>
        <w:rPr>
          <w:rFonts w:hint="eastAsia" w:eastAsia="楷体_GB2312"/>
          <w:b/>
          <w:sz w:val="24"/>
        </w:rPr>
        <w:t>主协议</w:t>
      </w:r>
      <w:r>
        <w:rPr>
          <w:rFonts w:hint="eastAsia" w:eastAsia="楷体_GB2312"/>
          <w:sz w:val="24"/>
        </w:rPr>
        <w:t>第十条的目的，交易一方向交易另一方另外做出下述陈述：</w:t>
      </w:r>
    </w:p>
    <w:p w14:paraId="04DCFFBB">
      <w:pPr>
        <w:spacing w:before="312" w:beforeLines="100"/>
        <w:ind w:firstLine="555"/>
        <w:jc w:val="left"/>
        <w:rPr>
          <w:rFonts w:eastAsia="楷体_GB2312"/>
          <w:sz w:val="24"/>
        </w:rPr>
      </w:pPr>
      <w:r>
        <w:rPr>
          <w:rFonts w:hint="eastAsia" w:eastAsia="楷体_GB2312"/>
          <w:sz w:val="24"/>
        </w:rPr>
        <w:t>（1）交易目的声明</w:t>
      </w:r>
    </w:p>
    <w:p w14:paraId="678EBD24">
      <w:pPr>
        <w:spacing w:before="100" w:beforeAutospacing="1" w:after="100" w:afterAutospacing="1"/>
        <w:ind w:firstLine="480" w:firstLineChars="200"/>
        <w:rPr>
          <w:rFonts w:eastAsia="楷体_GB2312"/>
          <w:sz w:val="24"/>
        </w:rPr>
      </w:pPr>
      <w:r>
        <w:rPr>
          <w:rFonts w:hint="eastAsia" w:eastAsia="楷体_GB2312"/>
          <w:sz w:val="24"/>
        </w:rPr>
        <w:t>如交易一方为（</w:t>
      </w:r>
      <w:r>
        <w:rPr>
          <w:rFonts w:eastAsia="楷体_GB2312"/>
          <w:sz w:val="24"/>
        </w:rPr>
        <w:t>a</w:t>
      </w:r>
      <w:r>
        <w:rPr>
          <w:rFonts w:hint="eastAsia" w:eastAsia="楷体_GB2312"/>
          <w:sz w:val="24"/>
        </w:rPr>
        <w:t>）受中国银保监会监管、经批准经营金融业务且其</w:t>
      </w:r>
      <w:r>
        <w:rPr>
          <w:rFonts w:eastAsia="楷体_GB2312"/>
          <w:sz w:val="24"/>
        </w:rPr>
        <w:t>获得的场外衍生品交易业务资格为基础类</w:t>
      </w:r>
      <w:r>
        <w:rPr>
          <w:rFonts w:hint="eastAsia" w:eastAsia="楷体_GB2312"/>
          <w:sz w:val="24"/>
        </w:rPr>
        <w:t>资格的金融机构；(</w:t>
      </w:r>
      <w:r>
        <w:rPr>
          <w:rFonts w:eastAsia="楷体_GB2312"/>
          <w:sz w:val="24"/>
        </w:rPr>
        <w:t>b)</w:t>
      </w:r>
      <w:r>
        <w:rPr>
          <w:rFonts w:hint="eastAsia"/>
        </w:rPr>
        <w:t xml:space="preserve"> </w:t>
      </w:r>
      <w:r>
        <w:rPr>
          <w:rFonts w:hint="eastAsia" w:eastAsia="楷体_GB2312"/>
          <w:sz w:val="24"/>
        </w:rPr>
        <w:t>证券公司，且不具备证券自营业务资格的;</w:t>
      </w:r>
      <w:r>
        <w:rPr>
          <w:rFonts w:eastAsia="楷体_GB2312"/>
          <w:sz w:val="24"/>
        </w:rPr>
        <w:t>(c)</w:t>
      </w:r>
      <w:r>
        <w:rPr>
          <w:rFonts w:hint="eastAsia" w:eastAsia="楷体_GB2312"/>
          <w:sz w:val="24"/>
        </w:rPr>
        <w:t>保险机构，则保证，其仅以对冲风险（套期保值）为目的而开展场外衍生品交易，未从事任何形式的投机交易。</w:t>
      </w:r>
    </w:p>
    <w:p w14:paraId="05A21814">
      <w:pPr>
        <w:spacing w:before="312" w:beforeLines="100"/>
        <w:ind w:firstLine="555"/>
        <w:jc w:val="left"/>
        <w:rPr>
          <w:rFonts w:eastAsia="楷体_GB2312"/>
          <w:sz w:val="24"/>
        </w:rPr>
      </w:pPr>
      <w:r>
        <w:rPr>
          <w:rFonts w:hint="eastAsia" w:eastAsia="楷体_GB2312"/>
          <w:sz w:val="24"/>
        </w:rPr>
        <w:t>（</w:t>
      </w:r>
      <w:r>
        <w:rPr>
          <w:rFonts w:eastAsia="楷体_GB2312"/>
          <w:sz w:val="24"/>
        </w:rPr>
        <w:t>2</w:t>
      </w:r>
      <w:r>
        <w:rPr>
          <w:rFonts w:hint="eastAsia" w:eastAsia="楷体_GB2312"/>
          <w:sz w:val="24"/>
        </w:rPr>
        <w:t>）合规性声明</w:t>
      </w:r>
    </w:p>
    <w:p w14:paraId="0043ECEC">
      <w:pPr>
        <w:spacing w:before="312" w:beforeLines="100"/>
        <w:ind w:firstLine="480" w:firstLineChars="200"/>
        <w:jc w:val="left"/>
        <w:rPr>
          <w:rFonts w:eastAsia="楷体_GB2312"/>
          <w:sz w:val="24"/>
        </w:rPr>
      </w:pPr>
      <w:r>
        <w:rPr>
          <w:rFonts w:hint="eastAsia" w:eastAsia="楷体_GB2312"/>
          <w:sz w:val="24"/>
        </w:rPr>
        <w:t>交易任一方保证国家有关法律、法规、规章未禁止其办理</w:t>
      </w:r>
      <w:r>
        <w:rPr>
          <w:rFonts w:hint="eastAsia" w:eastAsia="楷体_GB2312"/>
          <w:b/>
          <w:sz w:val="24"/>
        </w:rPr>
        <w:t>本协议</w:t>
      </w:r>
      <w:r>
        <w:rPr>
          <w:rFonts w:hint="eastAsia" w:eastAsia="楷体_GB2312"/>
          <w:sz w:val="24"/>
        </w:rPr>
        <w:t>项下交易，办理</w:t>
      </w:r>
      <w:r>
        <w:rPr>
          <w:rFonts w:hint="eastAsia" w:eastAsia="楷体_GB2312"/>
          <w:b/>
          <w:sz w:val="24"/>
        </w:rPr>
        <w:t>本协议</w:t>
      </w:r>
      <w:r>
        <w:rPr>
          <w:rFonts w:hint="eastAsia" w:eastAsia="楷体_GB2312"/>
          <w:sz w:val="24"/>
        </w:rPr>
        <w:t>项下交易符合国家有关法律法规以及监管</w:t>
      </w:r>
      <w:r>
        <w:rPr>
          <w:rFonts w:eastAsia="楷体_GB2312"/>
          <w:sz w:val="24"/>
        </w:rPr>
        <w:t>/</w:t>
      </w:r>
      <w:r>
        <w:rPr>
          <w:rFonts w:hint="eastAsia" w:eastAsia="楷体_GB2312"/>
          <w:sz w:val="24"/>
        </w:rPr>
        <w:t>主管部门的有关规定，并已经获得办理该交易的相关授权。参与场外衍生品交易业务所涉及资金、资产来源合法。交易任一方保证发出的指令内容是合法合规的，且不得利用</w:t>
      </w:r>
      <w:r>
        <w:rPr>
          <w:rFonts w:hint="eastAsia" w:eastAsia="楷体_GB2312"/>
          <w:b/>
          <w:sz w:val="24"/>
        </w:rPr>
        <w:t>本协议</w:t>
      </w:r>
      <w:r>
        <w:rPr>
          <w:rFonts w:hint="eastAsia" w:eastAsia="楷体_GB2312"/>
          <w:sz w:val="24"/>
        </w:rPr>
        <w:t>项</w:t>
      </w:r>
      <w:r>
        <w:rPr>
          <w:rFonts w:eastAsia="楷体_GB2312"/>
          <w:sz w:val="24"/>
        </w:rPr>
        <w:t>下的</w:t>
      </w:r>
      <w:r>
        <w:rPr>
          <w:rFonts w:hint="eastAsia" w:eastAsia="楷体_GB2312"/>
          <w:sz w:val="24"/>
        </w:rPr>
        <w:t>交易从事规避法律法规相关要求及强制性规定的违规行为，包括但不限于：利用场外衍生品交易进行股票分仓以规避相关信息披露、交易限制等规定，利用</w:t>
      </w:r>
      <w:r>
        <w:rPr>
          <w:rFonts w:hint="eastAsia" w:eastAsia="楷体_GB2312"/>
          <w:b/>
          <w:sz w:val="24"/>
        </w:rPr>
        <w:t>本协议</w:t>
      </w:r>
      <w:r>
        <w:rPr>
          <w:rFonts w:hint="eastAsia" w:eastAsia="楷体_GB2312"/>
          <w:sz w:val="24"/>
        </w:rPr>
        <w:t>项</w:t>
      </w:r>
      <w:r>
        <w:rPr>
          <w:rFonts w:eastAsia="楷体_GB2312"/>
          <w:sz w:val="24"/>
        </w:rPr>
        <w:t>下的</w:t>
      </w:r>
      <w:r>
        <w:rPr>
          <w:rFonts w:hint="eastAsia" w:eastAsia="楷体_GB2312"/>
          <w:sz w:val="24"/>
        </w:rPr>
        <w:t>交易影响或拉抬股价，或其指令涉及内幕交易或操纵市场、交易涉嫌洗钱、恐怖融资等情形。当交易一方通过</w:t>
      </w:r>
      <w:r>
        <w:rPr>
          <w:rFonts w:hint="eastAsia" w:eastAsia="楷体_GB2312"/>
          <w:b/>
          <w:sz w:val="24"/>
        </w:rPr>
        <w:t>本协议</w:t>
      </w:r>
      <w:r>
        <w:rPr>
          <w:rFonts w:eastAsia="楷体_GB2312"/>
          <w:sz w:val="24"/>
        </w:rPr>
        <w:t>项下的</w:t>
      </w:r>
      <w:r>
        <w:rPr>
          <w:rFonts w:hint="eastAsia" w:eastAsia="楷体_GB2312"/>
          <w:sz w:val="24"/>
        </w:rPr>
        <w:t>交易及其他金融工具直接或间接合并持有或控制特定标的股票的名义数量达到或超过该标的股票总股本的</w:t>
      </w:r>
      <w:r>
        <w:rPr>
          <w:rFonts w:eastAsia="楷体_GB2312"/>
          <w:sz w:val="24"/>
        </w:rPr>
        <w:t>5%</w:t>
      </w:r>
      <w:r>
        <w:rPr>
          <w:rFonts w:hint="eastAsia" w:eastAsia="楷体_GB2312"/>
          <w:sz w:val="24"/>
        </w:rPr>
        <w:t>时，交易一方同意根据国家有关法律、法规及相关主管部门、监管部门、交易所等自律组织的相关规定履行</w:t>
      </w:r>
      <w:r>
        <w:rPr>
          <w:rFonts w:hint="eastAsia" w:eastAsia="楷体_GB2312"/>
          <w:b/>
          <w:sz w:val="24"/>
        </w:rPr>
        <w:t>本协议</w:t>
      </w:r>
      <w:r>
        <w:rPr>
          <w:rFonts w:eastAsia="楷体_GB2312"/>
          <w:sz w:val="24"/>
        </w:rPr>
        <w:t>项下</w:t>
      </w:r>
      <w:r>
        <w:rPr>
          <w:rFonts w:hint="eastAsia" w:eastAsia="楷体_GB2312"/>
          <w:sz w:val="24"/>
        </w:rPr>
        <w:t>的交易下必要的信息披露义务。交易一方违反或涉嫌违反上述声明的，交易另一方将有权单方终止交易，由此导致的监管处罚和法律责任及所有费用和损失均由违反或涉嫌违反的一方承担。</w:t>
      </w:r>
    </w:p>
    <w:p w14:paraId="2991AF3A">
      <w:pPr>
        <w:spacing w:before="100" w:beforeAutospacing="1" w:after="100" w:afterAutospacing="1"/>
        <w:ind w:firstLine="480" w:firstLineChars="200"/>
        <w:rPr>
          <w:rFonts w:eastAsia="楷体_GB2312"/>
          <w:sz w:val="24"/>
        </w:rPr>
      </w:pPr>
      <w:r>
        <w:rPr>
          <w:rFonts w:hint="eastAsia" w:eastAsia="楷体_GB2312"/>
          <w:sz w:val="24"/>
        </w:rPr>
        <w:t>交易双方同意保证交易对手方本身及其子公司、附属机构及其各自之管理人员、董事、雇员、代理人以及任何其他个人或机构（上述任何一方均为</w:t>
      </w:r>
      <w:r>
        <w:rPr>
          <w:rFonts w:eastAsia="楷体_GB2312"/>
          <w:sz w:val="24"/>
        </w:rPr>
        <w:t>“</w:t>
      </w:r>
      <w:r>
        <w:rPr>
          <w:rFonts w:hint="eastAsia" w:eastAsia="楷体_GB2312"/>
          <w:sz w:val="24"/>
        </w:rPr>
        <w:t>受补偿方</w:t>
      </w:r>
      <w:r>
        <w:rPr>
          <w:rFonts w:eastAsia="楷体_GB2312"/>
          <w:sz w:val="24"/>
        </w:rPr>
        <w:t>”</w:t>
      </w:r>
      <w:r>
        <w:rPr>
          <w:rFonts w:hint="eastAsia" w:eastAsia="楷体_GB2312"/>
          <w:sz w:val="24"/>
        </w:rPr>
        <w:t>）提供</w:t>
      </w:r>
      <w:r>
        <w:rPr>
          <w:rFonts w:hint="eastAsia" w:eastAsia="楷体_GB2312"/>
          <w:b/>
          <w:sz w:val="24"/>
        </w:rPr>
        <w:t>本协议</w:t>
      </w:r>
      <w:r>
        <w:rPr>
          <w:rFonts w:hint="eastAsia" w:eastAsia="楷体_GB2312"/>
          <w:sz w:val="24"/>
        </w:rPr>
        <w:t>项下的服务不因交易某一方过错而遭受任何损害或被处罚、被提出请求或承担任何责任或义务。如发生上述情况，交易一方将向受补偿方支付因应付任何与</w:t>
      </w:r>
      <w:r>
        <w:rPr>
          <w:rFonts w:hint="eastAsia" w:eastAsia="楷体_GB2312"/>
          <w:b/>
          <w:sz w:val="24"/>
        </w:rPr>
        <w:t>本协议</w:t>
      </w:r>
      <w:r>
        <w:rPr>
          <w:rFonts w:hint="eastAsia" w:eastAsia="楷体_GB2312"/>
          <w:sz w:val="24"/>
        </w:rPr>
        <w:t>相关之诉讼、起诉、监管处罚或调查而进行之调查、准备资料以及应诉、接受监管处罚而合理产生之所有合理费用（包括法律顾问费用）和损失，无论是威胁受到起诉或者尚未获得最终裁决，也不论该受补偿方是否在该等诉讼、起诉或调查中作为一方存在。</w:t>
      </w:r>
    </w:p>
    <w:p w14:paraId="54FE4D52">
      <w:pPr>
        <w:spacing w:before="100" w:beforeAutospacing="1" w:after="100" w:afterAutospacing="1"/>
        <w:ind w:firstLine="480" w:firstLineChars="200"/>
        <w:rPr>
          <w:rFonts w:eastAsia="楷体_GB2312"/>
          <w:sz w:val="24"/>
        </w:rPr>
      </w:pPr>
      <w:r>
        <w:rPr>
          <w:rFonts w:hint="eastAsia" w:eastAsia="楷体_GB2312"/>
          <w:sz w:val="24"/>
        </w:rPr>
        <w:t>交易双方同意根据国家有关法律、法规及相关主管部门、监管部门、交易所等自律组织的相关规定履行场外衍生品交易下必要的信息披露义务，披露内容包括但不限于交易期限、标的证券名称及其数量等与衍生品交易有关的交易要素。交易双方保证遵守国家法律、法规及相关主管部门、监管部门、交易所等自律组织关于上市公司董事、监事、高级管理人员、持有上市公司股份百分之五以上的股东进行标的证券增持、减持的时间、窗口期、审批、信息披露等相关规定。若因交易任一方未及时履行信息披露义务，或交易任一方未遵守上市公司董事、监事、高级管理人员、持有上市公司股份百分之五以上的股东增持、减持标的证券相关规定，交易另一方有权单方终止交易，由此导致的监管处罚和法律责任及所有费用和损失均由违反信息披露义务的一方承担。</w:t>
      </w:r>
    </w:p>
    <w:p w14:paraId="4CD13C9C">
      <w:pPr>
        <w:spacing w:before="100" w:beforeAutospacing="1" w:after="100" w:afterAutospacing="1"/>
        <w:ind w:firstLine="480" w:firstLineChars="200"/>
        <w:rPr>
          <w:sz w:val="24"/>
        </w:rPr>
      </w:pPr>
      <w:r>
        <w:rPr>
          <w:rFonts w:hint="eastAsia" w:eastAsia="楷体_GB2312"/>
          <w:sz w:val="24"/>
        </w:rPr>
        <w:t>如果在交易期限内交易一方的上述保证失效，交易另一方有权终止交易并对交易头寸予以强行平仓；强行平仓所有费用和损失以及由其保证失效引起的其他损失皆由违反保证承诺的交易一方承担。</w:t>
      </w:r>
    </w:p>
    <w:p w14:paraId="5A5EA5D9">
      <w:pPr>
        <w:pStyle w:val="3"/>
        <w:spacing w:before="100" w:beforeAutospacing="1" w:after="100" w:afterAutospacing="1" w:line="240" w:lineRule="auto"/>
        <w:ind w:firstLine="480" w:firstLineChars="200"/>
        <w:jc w:val="both"/>
        <w:rPr>
          <w:rFonts w:eastAsia="PMingLiU"/>
          <w:bCs/>
          <w:sz w:val="24"/>
        </w:rPr>
      </w:pPr>
      <w:r>
        <w:rPr>
          <w:rFonts w:hint="eastAsia" w:eastAsia="楷体_GB2312"/>
          <w:sz w:val="24"/>
        </w:rPr>
        <w:t>交易双方已清楚了解免责声明，保证合法合规交易，如因其不当行为遭受处罚或损失的，声明由其承担所有法律责任；由此给交易另一方带来损失的，应给与完全赔付，包经济损失等。</w:t>
      </w:r>
    </w:p>
    <w:p w14:paraId="39E10BEB">
      <w:pPr>
        <w:spacing w:before="312" w:beforeLines="100"/>
        <w:ind w:firstLine="480" w:firstLineChars="200"/>
        <w:jc w:val="left"/>
        <w:rPr>
          <w:rFonts w:eastAsia="楷体_GB2312"/>
          <w:sz w:val="24"/>
        </w:rPr>
      </w:pPr>
      <w:r>
        <w:rPr>
          <w:rFonts w:hint="eastAsia" w:eastAsia="楷体_GB2312" w:cs="楷体_GB2312"/>
          <w:sz w:val="24"/>
        </w:rPr>
        <w:t>本声明与保证应被视为甲方和乙方分别向对方在自</w:t>
      </w:r>
      <w:r>
        <w:rPr>
          <w:rFonts w:hint="eastAsia" w:eastAsia="楷体_GB2312" w:cs="楷体_GB2312"/>
          <w:b/>
          <w:bCs/>
          <w:sz w:val="24"/>
        </w:rPr>
        <w:t>主协议</w:t>
      </w:r>
      <w:r>
        <w:rPr>
          <w:rFonts w:hint="eastAsia" w:eastAsia="楷体_GB2312" w:cs="楷体_GB2312"/>
          <w:sz w:val="24"/>
        </w:rPr>
        <w:t>与本</w:t>
      </w:r>
      <w:r>
        <w:rPr>
          <w:rFonts w:hint="eastAsia" w:eastAsia="楷体_GB2312" w:cs="楷体_GB2312"/>
          <w:b/>
          <w:bCs/>
          <w:sz w:val="24"/>
        </w:rPr>
        <w:t>补充协议</w:t>
      </w:r>
      <w:r>
        <w:rPr>
          <w:rFonts w:hint="eastAsia" w:eastAsia="楷体_GB2312" w:cs="楷体_GB2312"/>
          <w:sz w:val="24"/>
        </w:rPr>
        <w:t>的生效日起的每一日重复作出。</w:t>
      </w:r>
    </w:p>
    <w:p w14:paraId="6B64D85D">
      <w:pPr>
        <w:spacing w:before="312" w:beforeLines="100" w:line="300" w:lineRule="auto"/>
        <w:jc w:val="left"/>
        <w:rPr>
          <w:rFonts w:eastAsia="楷体_GB2312"/>
          <w:sz w:val="24"/>
        </w:rPr>
      </w:pPr>
      <w:r>
        <w:rPr>
          <w:rFonts w:hint="eastAsia" w:eastAsia="楷体_GB2312"/>
          <w:b/>
          <w:sz w:val="24"/>
        </w:rPr>
        <w:t>8</w:t>
      </w:r>
      <w:r>
        <w:rPr>
          <w:rFonts w:eastAsia="楷体_GB2312"/>
          <w:sz w:val="24"/>
        </w:rPr>
        <w:t>、</w:t>
      </w:r>
      <w:r>
        <w:rPr>
          <w:rFonts w:hint="eastAsia" w:ascii="楷体" w:hAnsi="楷体" w:eastAsia="楷体"/>
          <w:b/>
          <w:sz w:val="24"/>
        </w:rPr>
        <w:t>适用法律</w:t>
      </w:r>
      <w:r>
        <w:rPr>
          <w:rFonts w:ascii="楷体" w:hAnsi="楷体" w:eastAsia="楷体"/>
          <w:b/>
          <w:sz w:val="24"/>
        </w:rPr>
        <w:t>及争议解决</w:t>
      </w:r>
    </w:p>
    <w:p w14:paraId="64F4C38E">
      <w:pPr>
        <w:spacing w:before="312" w:beforeLines="100"/>
        <w:ind w:firstLine="556"/>
        <w:jc w:val="left"/>
        <w:rPr>
          <w:rFonts w:eastAsia="楷体_GB2312"/>
          <w:sz w:val="24"/>
        </w:rPr>
      </w:pPr>
      <w:r>
        <w:rPr>
          <w:rFonts w:eastAsia="楷体_GB2312"/>
          <w:sz w:val="24"/>
        </w:rPr>
        <w:t>由协议的订立、解释、履行、效力而引起的或与之有关的任何争议、纠纷或权利要求，双方应本着友好合作的原则，通过协商解决；协商应在一方向另一方送达具体陈述和权利要求性质的书面协商请求后立即开始。如上述书面协商请求送达后30天内未能进行协商或协商不成，</w:t>
      </w:r>
      <w:r>
        <w:rPr>
          <w:rFonts w:hint="eastAsia" w:eastAsia="楷体_GB2312"/>
          <w:sz w:val="24"/>
        </w:rPr>
        <w:t>双方中任何一方均可将争议提交中国国际经济贸易仲裁委员会仲裁解决，仲裁地：北京</w:t>
      </w:r>
      <w:r>
        <w:rPr>
          <w:rFonts w:eastAsia="楷体_GB2312"/>
          <w:sz w:val="24"/>
        </w:rPr>
        <w:t>。</w:t>
      </w:r>
    </w:p>
    <w:p w14:paraId="00DEA2A6">
      <w:pPr>
        <w:spacing w:before="312" w:beforeLines="100"/>
        <w:ind w:firstLine="556"/>
        <w:jc w:val="left"/>
        <w:rPr>
          <w:rFonts w:eastAsia="楷体_GB2312"/>
          <w:sz w:val="24"/>
        </w:rPr>
      </w:pPr>
      <w:r>
        <w:rPr>
          <w:rFonts w:eastAsia="楷体_GB2312"/>
          <w:sz w:val="24"/>
        </w:rPr>
        <w:t>双方同意仲裁庭由三人组成，双方各自选定一名仲裁员，并在仲裁规则规定的期限内由双方或双方各自选定的仲裁员共同选定一名首席仲裁员；如果双方或双方各自选定的仲裁员未能在规定期间内共同选定首席仲裁员，双方同意由</w:t>
      </w:r>
      <w:r>
        <w:rPr>
          <w:rFonts w:hint="eastAsia" w:eastAsia="楷体_GB2312"/>
          <w:sz w:val="24"/>
        </w:rPr>
        <w:t>中国国际经济贸易仲裁委员会</w:t>
      </w:r>
      <w:r>
        <w:rPr>
          <w:rFonts w:eastAsia="楷体_GB2312"/>
          <w:sz w:val="24"/>
        </w:rPr>
        <w:t>代为指定一名首席仲裁员。</w:t>
      </w:r>
    </w:p>
    <w:p w14:paraId="6933F3ED">
      <w:pPr>
        <w:spacing w:before="312" w:beforeLines="100"/>
        <w:ind w:firstLine="556"/>
        <w:jc w:val="left"/>
        <w:rPr>
          <w:rFonts w:eastAsia="楷体_GB2312"/>
          <w:sz w:val="24"/>
        </w:rPr>
      </w:pPr>
      <w:r>
        <w:rPr>
          <w:rFonts w:eastAsia="楷体_GB2312"/>
          <w:sz w:val="24"/>
        </w:rPr>
        <w:t>双方同意，双方因仲裁而提交或通过仲裁庭而交换的所有证据、文件、资料、陈述、中间裁决和最终裁决（以及该等裁决中所认定的事实），在仲裁期间和其后均承担保密义务。未经另一方书面同意，任一方不得直接或间接对任何第三方披露仲裁相关的信息和对仲裁进行评述。</w:t>
      </w:r>
    </w:p>
    <w:p w14:paraId="738BDD21">
      <w:pPr>
        <w:spacing w:before="312" w:beforeLines="100"/>
        <w:ind w:firstLine="556"/>
        <w:jc w:val="left"/>
        <w:rPr>
          <w:rFonts w:eastAsia="楷体_GB2312"/>
          <w:sz w:val="24"/>
        </w:rPr>
      </w:pPr>
      <w:r>
        <w:rPr>
          <w:rFonts w:eastAsia="楷体_GB2312"/>
          <w:sz w:val="24"/>
        </w:rPr>
        <w:t>仲裁过程中，除双方提交的争议事项外，双方应在协议的所有其他方面继续执行协议。</w:t>
      </w:r>
    </w:p>
    <w:p w14:paraId="0A91F0A2">
      <w:pPr>
        <w:spacing w:before="312" w:beforeLines="100"/>
        <w:ind w:firstLine="556"/>
        <w:jc w:val="left"/>
        <w:rPr>
          <w:rFonts w:eastAsia="楷体_GB2312"/>
          <w:sz w:val="24"/>
        </w:rPr>
      </w:pPr>
      <w:r>
        <w:rPr>
          <w:rFonts w:eastAsia="楷体_GB2312"/>
          <w:sz w:val="24"/>
        </w:rPr>
        <w:t>仲裁庭的裁决是终局的，对争议双方均有约束力。</w:t>
      </w:r>
    </w:p>
    <w:p w14:paraId="3A9D9B52">
      <w:pPr>
        <w:spacing w:before="312" w:beforeLines="100" w:line="300" w:lineRule="auto"/>
        <w:jc w:val="left"/>
        <w:rPr>
          <w:rFonts w:eastAsia="楷体_GB2312"/>
          <w:b/>
          <w:sz w:val="24"/>
        </w:rPr>
      </w:pPr>
      <w:r>
        <w:rPr>
          <w:rFonts w:hint="eastAsia" w:eastAsia="楷体_GB2312"/>
          <w:b/>
          <w:sz w:val="24"/>
        </w:rPr>
        <w:t>9</w:t>
      </w:r>
      <w:r>
        <w:rPr>
          <w:rFonts w:eastAsia="楷体_GB2312"/>
          <w:b/>
          <w:sz w:val="24"/>
        </w:rPr>
        <w:t>、交收账户</w:t>
      </w:r>
    </w:p>
    <w:tbl>
      <w:tblPr>
        <w:tblStyle w:val="7"/>
        <w:tblW w:w="7754" w:type="dxa"/>
        <w:tblInd w:w="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66"/>
        <w:gridCol w:w="4188"/>
      </w:tblGrid>
      <w:tr w14:paraId="3A29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6" w:type="dxa"/>
          </w:tcPr>
          <w:p w14:paraId="75F084F3">
            <w:pPr>
              <w:spacing w:before="312" w:beforeLines="100"/>
              <w:jc w:val="left"/>
              <w:rPr>
                <w:rFonts w:eastAsia="楷体_GB2312"/>
                <w:sz w:val="24"/>
              </w:rPr>
            </w:pPr>
            <w:r>
              <w:rPr>
                <w:rFonts w:eastAsia="楷体_GB2312"/>
                <w:sz w:val="24"/>
              </w:rPr>
              <w:t>甲方银行账户户名</w:t>
            </w:r>
          </w:p>
        </w:tc>
        <w:tc>
          <w:tcPr>
            <w:tcW w:w="4188" w:type="dxa"/>
          </w:tcPr>
          <w:p w14:paraId="6EE7A0C8">
            <w:pPr>
              <w:spacing w:before="312" w:beforeLines="100"/>
              <w:jc w:val="left"/>
              <w:rPr>
                <w:rFonts w:eastAsia="楷体_GB2312"/>
                <w:sz w:val="24"/>
              </w:rPr>
            </w:pPr>
            <w:r>
              <w:rPr>
                <w:rFonts w:hint="eastAsia" w:eastAsia="楷体_GB2312"/>
                <w:sz w:val="24"/>
                <w:lang w:eastAsia="zh-CN"/>
              </w:rPr>
              <w:t>XX</w:t>
            </w:r>
            <w:r>
              <w:rPr>
                <w:rFonts w:hint="eastAsia" w:eastAsia="楷体_GB2312"/>
                <w:sz w:val="24"/>
              </w:rPr>
              <w:t>证券股份有限公司</w:t>
            </w:r>
          </w:p>
        </w:tc>
      </w:tr>
      <w:tr w14:paraId="1B0C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6" w:type="dxa"/>
          </w:tcPr>
          <w:p w14:paraId="6C17AC4C">
            <w:pPr>
              <w:spacing w:before="312" w:beforeLines="100"/>
              <w:jc w:val="left"/>
              <w:rPr>
                <w:rFonts w:eastAsia="楷体_GB2312"/>
                <w:sz w:val="24"/>
              </w:rPr>
            </w:pPr>
            <w:r>
              <w:rPr>
                <w:rFonts w:eastAsia="楷体_GB2312"/>
                <w:sz w:val="24"/>
              </w:rPr>
              <w:t>甲方银行账户账号</w:t>
            </w:r>
          </w:p>
        </w:tc>
        <w:tc>
          <w:tcPr>
            <w:tcW w:w="4188" w:type="dxa"/>
          </w:tcPr>
          <w:p w14:paraId="4DE3648E">
            <w:pPr>
              <w:spacing w:before="312" w:beforeLines="100"/>
              <w:jc w:val="left"/>
              <w:rPr>
                <w:rFonts w:eastAsia="楷体_GB2312"/>
                <w:sz w:val="24"/>
              </w:rPr>
            </w:pPr>
          </w:p>
        </w:tc>
      </w:tr>
      <w:tr w14:paraId="61F1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6" w:type="dxa"/>
          </w:tcPr>
          <w:p w14:paraId="7DD7A026">
            <w:pPr>
              <w:spacing w:before="312" w:beforeLines="100"/>
              <w:jc w:val="left"/>
              <w:rPr>
                <w:rFonts w:eastAsia="楷体_GB2312"/>
                <w:sz w:val="24"/>
              </w:rPr>
            </w:pPr>
            <w:r>
              <w:rPr>
                <w:rFonts w:eastAsia="楷体_GB2312"/>
                <w:sz w:val="24"/>
              </w:rPr>
              <w:t>甲方银行账户开户行</w:t>
            </w:r>
          </w:p>
        </w:tc>
        <w:tc>
          <w:tcPr>
            <w:tcW w:w="4188" w:type="dxa"/>
          </w:tcPr>
          <w:p w14:paraId="64A5319B">
            <w:pPr>
              <w:spacing w:before="312" w:beforeLines="100"/>
              <w:jc w:val="left"/>
              <w:rPr>
                <w:rFonts w:eastAsia="楷体_GB2312"/>
                <w:sz w:val="24"/>
              </w:rPr>
            </w:pPr>
          </w:p>
        </w:tc>
      </w:tr>
      <w:tr w14:paraId="6698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6" w:type="dxa"/>
          </w:tcPr>
          <w:p w14:paraId="497C6029">
            <w:pPr>
              <w:spacing w:before="312" w:beforeLines="100"/>
              <w:jc w:val="left"/>
              <w:rPr>
                <w:rFonts w:eastAsia="楷体_GB2312"/>
                <w:sz w:val="24"/>
              </w:rPr>
            </w:pPr>
            <w:r>
              <w:rPr>
                <w:rFonts w:eastAsia="楷体_GB2312"/>
                <w:sz w:val="24"/>
              </w:rPr>
              <w:t>甲方支付系统号</w:t>
            </w:r>
          </w:p>
        </w:tc>
        <w:tc>
          <w:tcPr>
            <w:tcW w:w="4188" w:type="dxa"/>
          </w:tcPr>
          <w:p w14:paraId="7033D506">
            <w:pPr>
              <w:spacing w:before="312" w:beforeLines="100"/>
              <w:jc w:val="left"/>
              <w:rPr>
                <w:rFonts w:eastAsia="楷体_GB2312"/>
                <w:sz w:val="24"/>
              </w:rPr>
            </w:pPr>
            <w:bookmarkStart w:id="8" w:name="_GoBack"/>
            <w:bookmarkEnd w:id="8"/>
          </w:p>
        </w:tc>
      </w:tr>
      <w:tr w14:paraId="08A9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6" w:type="dxa"/>
          </w:tcPr>
          <w:p w14:paraId="05F16226">
            <w:pPr>
              <w:spacing w:before="312" w:beforeLines="100"/>
              <w:jc w:val="left"/>
              <w:rPr>
                <w:rFonts w:eastAsia="楷体_GB2312"/>
                <w:sz w:val="24"/>
              </w:rPr>
            </w:pPr>
            <w:r>
              <w:rPr>
                <w:rFonts w:hint="eastAsia" w:eastAsia="楷体_GB2312"/>
                <w:sz w:val="24"/>
              </w:rPr>
              <w:t>乙</w:t>
            </w:r>
            <w:r>
              <w:rPr>
                <w:rFonts w:eastAsia="楷体_GB2312"/>
                <w:sz w:val="24"/>
              </w:rPr>
              <w:t>方银行账户户名</w:t>
            </w:r>
          </w:p>
        </w:tc>
        <w:tc>
          <w:tcPr>
            <w:tcW w:w="4188" w:type="dxa"/>
          </w:tcPr>
          <w:p w14:paraId="14A9A876">
            <w:pPr>
              <w:spacing w:before="312" w:beforeLines="100"/>
              <w:jc w:val="left"/>
              <w:rPr>
                <w:rFonts w:eastAsia="楷体_GB2312"/>
                <w:sz w:val="24"/>
              </w:rPr>
            </w:pPr>
            <w:r>
              <w:rPr>
                <w:rFonts w:hint="eastAsia" w:eastAsia="楷体_GB2312"/>
                <w:sz w:val="24"/>
              </w:rPr>
              <w:t>以交易确认书为准</w:t>
            </w:r>
          </w:p>
        </w:tc>
      </w:tr>
      <w:tr w14:paraId="7A3D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6" w:type="dxa"/>
          </w:tcPr>
          <w:p w14:paraId="587BD4DE">
            <w:pPr>
              <w:spacing w:before="312" w:beforeLines="100"/>
              <w:jc w:val="left"/>
              <w:rPr>
                <w:rFonts w:eastAsia="楷体_GB2312"/>
                <w:sz w:val="24"/>
              </w:rPr>
            </w:pPr>
            <w:r>
              <w:rPr>
                <w:rFonts w:hint="eastAsia" w:eastAsia="楷体_GB2312"/>
                <w:sz w:val="24"/>
              </w:rPr>
              <w:t>乙</w:t>
            </w:r>
            <w:r>
              <w:rPr>
                <w:rFonts w:eastAsia="楷体_GB2312"/>
                <w:sz w:val="24"/>
              </w:rPr>
              <w:t>方银行账户账号</w:t>
            </w:r>
          </w:p>
        </w:tc>
        <w:tc>
          <w:tcPr>
            <w:tcW w:w="4188" w:type="dxa"/>
          </w:tcPr>
          <w:p w14:paraId="7267D71B">
            <w:pPr>
              <w:spacing w:before="312" w:beforeLines="100"/>
              <w:jc w:val="left"/>
              <w:rPr>
                <w:rFonts w:eastAsia="楷体_GB2312"/>
                <w:sz w:val="24"/>
              </w:rPr>
            </w:pPr>
            <w:r>
              <w:rPr>
                <w:rFonts w:hint="eastAsia" w:eastAsia="楷体_GB2312"/>
                <w:sz w:val="24"/>
              </w:rPr>
              <w:t>以交易确认书为准</w:t>
            </w:r>
          </w:p>
        </w:tc>
      </w:tr>
      <w:tr w14:paraId="1311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6" w:type="dxa"/>
          </w:tcPr>
          <w:p w14:paraId="0CDDF2ED">
            <w:pPr>
              <w:spacing w:before="312" w:beforeLines="100"/>
              <w:jc w:val="left"/>
              <w:rPr>
                <w:rFonts w:eastAsia="楷体_GB2312"/>
                <w:sz w:val="24"/>
              </w:rPr>
            </w:pPr>
            <w:r>
              <w:rPr>
                <w:rFonts w:hint="eastAsia" w:eastAsia="楷体_GB2312"/>
                <w:sz w:val="24"/>
              </w:rPr>
              <w:t>乙</w:t>
            </w:r>
            <w:r>
              <w:rPr>
                <w:rFonts w:eastAsia="楷体_GB2312"/>
                <w:sz w:val="24"/>
              </w:rPr>
              <w:t>方银行账户开户行</w:t>
            </w:r>
          </w:p>
        </w:tc>
        <w:tc>
          <w:tcPr>
            <w:tcW w:w="4188" w:type="dxa"/>
          </w:tcPr>
          <w:p w14:paraId="70A8B77A">
            <w:pPr>
              <w:spacing w:before="312" w:beforeLines="100"/>
              <w:jc w:val="left"/>
              <w:rPr>
                <w:rFonts w:eastAsia="楷体_GB2312"/>
                <w:sz w:val="24"/>
              </w:rPr>
            </w:pPr>
            <w:r>
              <w:rPr>
                <w:rFonts w:hint="eastAsia" w:eastAsia="楷体_GB2312"/>
                <w:sz w:val="24"/>
              </w:rPr>
              <w:t>以交易确认书为准</w:t>
            </w:r>
          </w:p>
        </w:tc>
      </w:tr>
      <w:tr w14:paraId="5D0C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6" w:type="dxa"/>
          </w:tcPr>
          <w:p w14:paraId="36B14485">
            <w:pPr>
              <w:spacing w:before="312" w:beforeLines="100"/>
              <w:jc w:val="left"/>
              <w:rPr>
                <w:rFonts w:eastAsia="楷体_GB2312"/>
                <w:sz w:val="24"/>
              </w:rPr>
            </w:pPr>
            <w:r>
              <w:rPr>
                <w:rFonts w:hint="eastAsia" w:eastAsia="楷体_GB2312"/>
                <w:sz w:val="24"/>
              </w:rPr>
              <w:t>乙</w:t>
            </w:r>
            <w:r>
              <w:rPr>
                <w:rFonts w:eastAsia="楷体_GB2312"/>
                <w:sz w:val="24"/>
              </w:rPr>
              <w:t>方支付系统号</w:t>
            </w:r>
          </w:p>
        </w:tc>
        <w:tc>
          <w:tcPr>
            <w:tcW w:w="4188" w:type="dxa"/>
          </w:tcPr>
          <w:p w14:paraId="1E2BF490">
            <w:pPr>
              <w:spacing w:before="312" w:beforeLines="100"/>
              <w:jc w:val="left"/>
              <w:rPr>
                <w:rFonts w:eastAsia="楷体_GB2312"/>
                <w:sz w:val="24"/>
              </w:rPr>
            </w:pPr>
            <w:r>
              <w:rPr>
                <w:rFonts w:hint="eastAsia" w:eastAsia="楷体_GB2312"/>
                <w:sz w:val="24"/>
              </w:rPr>
              <w:t>以交易确认书为准</w:t>
            </w:r>
          </w:p>
        </w:tc>
      </w:tr>
    </w:tbl>
    <w:p w14:paraId="1337475A">
      <w:pPr>
        <w:spacing w:before="312" w:beforeLines="100"/>
        <w:rPr>
          <w:rFonts w:eastAsia="楷体_GB2312"/>
          <w:b/>
          <w:sz w:val="24"/>
        </w:rPr>
      </w:pPr>
      <w:r>
        <w:rPr>
          <w:rFonts w:eastAsia="楷体_GB2312"/>
          <w:b/>
          <w:sz w:val="24"/>
        </w:rPr>
        <w:t>第四条 其他补充约定</w:t>
      </w:r>
    </w:p>
    <w:p w14:paraId="043955FA">
      <w:pPr>
        <w:spacing w:before="312" w:beforeLines="100"/>
        <w:ind w:firstLine="420"/>
        <w:rPr>
          <w:rFonts w:eastAsia="楷体_GB2312"/>
          <w:b/>
          <w:sz w:val="24"/>
        </w:rPr>
      </w:pPr>
      <w:r>
        <w:rPr>
          <w:rFonts w:hint="eastAsia" w:eastAsia="楷体_GB2312"/>
          <w:b/>
          <w:sz w:val="24"/>
        </w:rPr>
        <w:t>1</w:t>
      </w:r>
      <w:r>
        <w:rPr>
          <w:rFonts w:eastAsia="楷体_GB2312"/>
          <w:b/>
          <w:sz w:val="24"/>
        </w:rPr>
        <w:t>、因交易对方违反履约先决条件而暂停支付的计息</w:t>
      </w:r>
    </w:p>
    <w:p w14:paraId="68CF57A2">
      <w:pPr>
        <w:spacing w:before="312" w:beforeLines="100"/>
        <w:ind w:firstLine="480" w:firstLineChars="200"/>
        <w:jc w:val="left"/>
        <w:rPr>
          <w:rFonts w:eastAsia="楷体_GB2312"/>
          <w:sz w:val="24"/>
        </w:rPr>
      </w:pPr>
      <w:r>
        <w:rPr>
          <w:rFonts w:eastAsia="楷体_GB2312"/>
          <w:sz w:val="24"/>
        </w:rPr>
        <w:t>交易双方同意在</w:t>
      </w:r>
      <w:r>
        <w:rPr>
          <w:rFonts w:eastAsia="楷体_GB2312"/>
          <w:b/>
          <w:bCs/>
          <w:sz w:val="24"/>
        </w:rPr>
        <w:t>主协议</w:t>
      </w:r>
      <w:r>
        <w:rPr>
          <w:rFonts w:eastAsia="楷体_GB2312"/>
          <w:sz w:val="24"/>
        </w:rPr>
        <w:t>第9.1.1条应整条被下列文字取代：</w:t>
      </w:r>
    </w:p>
    <w:p w14:paraId="29810009">
      <w:pPr>
        <w:spacing w:before="93" w:beforeLines="30"/>
        <w:ind w:firstLine="480" w:firstLineChars="200"/>
        <w:rPr>
          <w:rFonts w:eastAsia="楷体_GB2312"/>
          <w:sz w:val="24"/>
        </w:rPr>
      </w:pPr>
      <w:r>
        <w:rPr>
          <w:rFonts w:eastAsia="楷体_GB2312"/>
          <w:sz w:val="24"/>
        </w:rPr>
        <w:t>“由于交易对方违反了第2.2.2或2.2.3条约定的履约先决条件，交易一方因而暂停履行其根据第2.1条本应履行的支付义务，则应交易对方的要求（且在该交易一方可主张暂停履行支付义务的原因消除之后），该交易一方应就该款项向交易对方支付利息。计息期自该交易一方原应履行支付义务之日（含）起，至该交易一方在上述原因消除之后实际应履行支付义务之日（不含）止。利率为银行间利率。</w:t>
      </w:r>
      <w:r>
        <w:rPr>
          <w:rFonts w:eastAsia="楷体_GB2312"/>
          <w:b/>
          <w:sz w:val="24"/>
        </w:rPr>
        <w:t>但</w:t>
      </w:r>
      <w:r>
        <w:rPr>
          <w:rFonts w:eastAsia="楷体_GB2312"/>
          <w:sz w:val="24"/>
        </w:rPr>
        <w:t>在交易对方违反了第2.2.1条约定的履约先决条件，交易一方因而暂停履行其根据第2.1条本应履行的支付义务的情形下，交易对方不得主张暂停支付的计息。</w:t>
      </w:r>
      <w:r>
        <w:rPr>
          <w:rFonts w:hint="eastAsia" w:eastAsia="楷体_GB2312"/>
          <w:sz w:val="24"/>
        </w:rPr>
        <w:t>“</w:t>
      </w:r>
    </w:p>
    <w:p w14:paraId="3F0A8FA2">
      <w:pPr>
        <w:spacing w:before="312" w:beforeLines="100"/>
        <w:ind w:firstLine="420"/>
        <w:rPr>
          <w:rFonts w:eastAsia="楷体_GB2312"/>
          <w:b/>
          <w:sz w:val="24"/>
        </w:rPr>
      </w:pPr>
      <w:r>
        <w:rPr>
          <w:rFonts w:hint="eastAsia" w:eastAsia="楷体_GB2312"/>
          <w:b/>
          <w:sz w:val="24"/>
        </w:rPr>
        <w:t>2</w:t>
      </w:r>
      <w:r>
        <w:rPr>
          <w:rFonts w:eastAsia="楷体_GB2312"/>
          <w:b/>
          <w:sz w:val="24"/>
        </w:rPr>
        <w:t>、本协议的修订形式</w:t>
      </w:r>
    </w:p>
    <w:p w14:paraId="6CD525C4">
      <w:pPr>
        <w:spacing w:before="312" w:beforeLines="100"/>
        <w:ind w:firstLine="480" w:firstLineChars="200"/>
        <w:jc w:val="left"/>
        <w:rPr>
          <w:rFonts w:eastAsia="楷体_GB2312"/>
          <w:sz w:val="24"/>
        </w:rPr>
      </w:pPr>
      <w:r>
        <w:rPr>
          <w:rFonts w:eastAsia="楷体_GB2312"/>
          <w:sz w:val="24"/>
        </w:rPr>
        <w:t>交易双方同意</w:t>
      </w:r>
      <w:r>
        <w:rPr>
          <w:rFonts w:eastAsia="楷体_GB2312"/>
          <w:b/>
          <w:bCs/>
          <w:sz w:val="24"/>
        </w:rPr>
        <w:t>主协议</w:t>
      </w:r>
      <w:r>
        <w:rPr>
          <w:rFonts w:eastAsia="楷体_GB2312"/>
          <w:sz w:val="24"/>
        </w:rPr>
        <w:t>第13.2 条应整条被下列文字取代：</w:t>
      </w:r>
    </w:p>
    <w:p w14:paraId="6B3514CB">
      <w:pPr>
        <w:tabs>
          <w:tab w:val="left" w:pos="340"/>
          <w:tab w:val="left" w:pos="680"/>
          <w:tab w:val="left" w:pos="1021"/>
          <w:tab w:val="left" w:pos="1361"/>
          <w:tab w:val="left" w:pos="1701"/>
        </w:tabs>
        <w:spacing w:before="312" w:beforeLines="100"/>
        <w:ind w:firstLine="480" w:firstLineChars="200"/>
        <w:rPr>
          <w:rFonts w:eastAsia="楷体_GB2312"/>
          <w:sz w:val="24"/>
          <w:highlight w:val="yellow"/>
        </w:rPr>
      </w:pPr>
      <w:r>
        <w:rPr>
          <w:rFonts w:eastAsia="楷体_GB2312"/>
          <w:sz w:val="24"/>
        </w:rPr>
        <w:t>“13.2  对于</w:t>
      </w:r>
      <w:r>
        <w:rPr>
          <w:rFonts w:eastAsia="楷体_GB2312"/>
          <w:b/>
          <w:bCs/>
          <w:sz w:val="24"/>
        </w:rPr>
        <w:t>本协议</w:t>
      </w:r>
      <w:r>
        <w:rPr>
          <w:rFonts w:eastAsia="楷体_GB2312"/>
          <w:sz w:val="24"/>
        </w:rPr>
        <w:t>的任何修订、修改或弃权均应以书面形式做出。书面方式</w:t>
      </w:r>
      <w:r>
        <w:rPr>
          <w:rFonts w:hint="eastAsia" w:eastAsia="楷体_GB2312"/>
          <w:sz w:val="24"/>
        </w:rPr>
        <w:t>不</w:t>
      </w:r>
      <w:r>
        <w:rPr>
          <w:rFonts w:eastAsia="楷体_GB2312"/>
          <w:sz w:val="24"/>
        </w:rPr>
        <w:t>包括传真、电传、电子邮件或其他电子信息交换方式。”</w:t>
      </w:r>
    </w:p>
    <w:p w14:paraId="3644D566">
      <w:pPr>
        <w:spacing w:before="312" w:beforeLines="100"/>
        <w:ind w:firstLine="420"/>
        <w:rPr>
          <w:rFonts w:eastAsia="楷体_GB2312"/>
          <w:b/>
          <w:sz w:val="24"/>
        </w:rPr>
      </w:pPr>
      <w:r>
        <w:rPr>
          <w:rFonts w:hint="eastAsia" w:eastAsia="楷体_GB2312"/>
          <w:b/>
          <w:sz w:val="24"/>
        </w:rPr>
        <w:t>3</w:t>
      </w:r>
      <w:r>
        <w:rPr>
          <w:rFonts w:eastAsia="楷体_GB2312"/>
          <w:b/>
          <w:sz w:val="24"/>
        </w:rPr>
        <w:t>、合同权利义务的转让</w:t>
      </w:r>
    </w:p>
    <w:p w14:paraId="19E06707">
      <w:pPr>
        <w:tabs>
          <w:tab w:val="left" w:pos="340"/>
          <w:tab w:val="left" w:pos="680"/>
          <w:tab w:val="left" w:pos="1021"/>
          <w:tab w:val="left" w:pos="1361"/>
          <w:tab w:val="left" w:pos="1701"/>
        </w:tabs>
        <w:spacing w:before="312" w:beforeLines="100"/>
        <w:ind w:firstLine="480" w:firstLineChars="200"/>
        <w:rPr>
          <w:rFonts w:eastAsia="楷体_GB2312"/>
          <w:sz w:val="24"/>
        </w:rPr>
      </w:pPr>
      <w:r>
        <w:rPr>
          <w:rFonts w:eastAsia="楷体_GB2312"/>
          <w:sz w:val="24"/>
        </w:rPr>
        <w:t>交易双方同意主协议第13.8条应整条被下列文字取代：</w:t>
      </w:r>
    </w:p>
    <w:p w14:paraId="463F12AD">
      <w:pPr>
        <w:tabs>
          <w:tab w:val="left" w:pos="340"/>
          <w:tab w:val="left" w:pos="680"/>
          <w:tab w:val="left" w:pos="1021"/>
          <w:tab w:val="left" w:pos="1361"/>
          <w:tab w:val="left" w:pos="1701"/>
        </w:tabs>
        <w:spacing w:before="312" w:beforeLines="100"/>
        <w:ind w:firstLine="480" w:firstLineChars="200"/>
        <w:rPr>
          <w:rFonts w:eastAsia="楷体_GB2312"/>
          <w:sz w:val="24"/>
        </w:rPr>
      </w:pPr>
      <w:r>
        <w:rPr>
          <w:rFonts w:eastAsia="楷体_GB2312"/>
          <w:sz w:val="24"/>
        </w:rPr>
        <w:t>“</w:t>
      </w:r>
      <w:r>
        <w:rPr>
          <w:rFonts w:eastAsia="楷体_GB2312"/>
          <w:b/>
          <w:bCs/>
          <w:sz w:val="24"/>
        </w:rPr>
        <w:t>13.8  合同权利义务的转让</w:t>
      </w:r>
    </w:p>
    <w:p w14:paraId="0DF55C4D">
      <w:pPr>
        <w:tabs>
          <w:tab w:val="left" w:pos="340"/>
          <w:tab w:val="left" w:pos="680"/>
          <w:tab w:val="left" w:pos="1021"/>
          <w:tab w:val="left" w:pos="1361"/>
          <w:tab w:val="left" w:pos="1701"/>
        </w:tabs>
        <w:spacing w:before="312" w:beforeLines="100"/>
        <w:ind w:firstLine="480" w:firstLineChars="200"/>
        <w:rPr>
          <w:rFonts w:eastAsia="楷体_GB2312"/>
          <w:sz w:val="24"/>
        </w:rPr>
      </w:pPr>
      <w:r>
        <w:rPr>
          <w:rFonts w:eastAsia="楷体_GB2312"/>
          <w:sz w:val="24"/>
        </w:rPr>
        <w:t>在不违反相关法律法规的前提下，未经对方事先书面同意，任何一方不得转让其在</w:t>
      </w:r>
      <w:r>
        <w:rPr>
          <w:rFonts w:eastAsia="楷体_GB2312"/>
          <w:b/>
          <w:bCs/>
          <w:sz w:val="24"/>
        </w:rPr>
        <w:t>本协议</w:t>
      </w:r>
      <w:r>
        <w:rPr>
          <w:rFonts w:eastAsia="楷体_GB2312"/>
          <w:sz w:val="24"/>
        </w:rPr>
        <w:t>或</w:t>
      </w:r>
      <w:r>
        <w:rPr>
          <w:rFonts w:eastAsia="楷体_GB2312"/>
          <w:b/>
          <w:bCs/>
          <w:sz w:val="24"/>
        </w:rPr>
        <w:t>本协议</w:t>
      </w:r>
      <w:r>
        <w:rPr>
          <w:rFonts w:eastAsia="楷体_GB2312"/>
          <w:sz w:val="24"/>
        </w:rPr>
        <w:t>下的任何权益、义务，否则该转让无效，但一方转让</w:t>
      </w:r>
      <w:r>
        <w:rPr>
          <w:rFonts w:eastAsia="楷体_GB2312"/>
          <w:b/>
          <w:bCs/>
          <w:sz w:val="24"/>
        </w:rPr>
        <w:t>违约方</w:t>
      </w:r>
      <w:r>
        <w:rPr>
          <w:rFonts w:eastAsia="楷体_GB2312"/>
          <w:sz w:val="24"/>
        </w:rPr>
        <w:t>向其支付的</w:t>
      </w:r>
      <w:r>
        <w:rPr>
          <w:rFonts w:eastAsia="楷体_GB2312"/>
          <w:b/>
          <w:bCs/>
          <w:sz w:val="24"/>
        </w:rPr>
        <w:t>提前终止款项</w:t>
      </w:r>
      <w:r>
        <w:rPr>
          <w:rFonts w:eastAsia="楷体_GB2312"/>
          <w:sz w:val="24"/>
        </w:rPr>
        <w:t>的全部或部分权益、与该权益相关的任何应付金额以及与</w:t>
      </w:r>
      <w:r>
        <w:rPr>
          <w:rFonts w:eastAsia="楷体_GB2312"/>
          <w:b/>
          <w:bCs/>
          <w:sz w:val="24"/>
        </w:rPr>
        <w:t>主协议</w:t>
      </w:r>
      <w:r>
        <w:rPr>
          <w:rFonts w:eastAsia="楷体_GB2312"/>
          <w:sz w:val="24"/>
        </w:rPr>
        <w:t>第九条下权益有关的其他权利除外。”</w:t>
      </w:r>
    </w:p>
    <w:p w14:paraId="6244581A">
      <w:pPr>
        <w:spacing w:before="312" w:beforeLines="100"/>
        <w:ind w:left="60" w:firstLine="420"/>
        <w:rPr>
          <w:rFonts w:eastAsia="楷体_GB2312"/>
          <w:b/>
          <w:sz w:val="24"/>
        </w:rPr>
      </w:pPr>
      <w:r>
        <w:rPr>
          <w:rFonts w:hint="eastAsia" w:eastAsia="楷体_GB2312"/>
          <w:b/>
          <w:sz w:val="24"/>
        </w:rPr>
        <w:t>4</w:t>
      </w:r>
      <w:r>
        <w:rPr>
          <w:rFonts w:eastAsia="楷体_GB2312"/>
          <w:b/>
          <w:sz w:val="24"/>
        </w:rPr>
        <w:t>、抵销</w:t>
      </w:r>
    </w:p>
    <w:p w14:paraId="730C4FCA">
      <w:pPr>
        <w:spacing w:before="312" w:beforeLines="100"/>
        <w:ind w:firstLine="480" w:firstLineChars="200"/>
        <w:rPr>
          <w:rFonts w:eastAsia="楷体_GB2312"/>
          <w:sz w:val="24"/>
        </w:rPr>
      </w:pPr>
      <w:r>
        <w:rPr>
          <w:rFonts w:hint="eastAsia" w:eastAsia="楷体_GB2312"/>
          <w:sz w:val="24"/>
        </w:rPr>
        <w:t>（1）</w:t>
      </w:r>
      <w:r>
        <w:rPr>
          <w:rFonts w:eastAsia="楷体_GB2312"/>
          <w:sz w:val="24"/>
        </w:rPr>
        <w:t>交易双方同意</w:t>
      </w:r>
      <w:r>
        <w:rPr>
          <w:rFonts w:hint="eastAsia" w:eastAsia="楷体_GB2312"/>
          <w:sz w:val="24"/>
        </w:rPr>
        <w:t>在</w:t>
      </w:r>
      <w:r>
        <w:rPr>
          <w:rFonts w:eastAsia="楷体_GB2312"/>
          <w:b/>
          <w:bCs/>
          <w:sz w:val="24"/>
        </w:rPr>
        <w:t>主协议</w:t>
      </w:r>
      <w:r>
        <w:rPr>
          <w:rFonts w:eastAsia="楷体_GB2312"/>
          <w:sz w:val="24"/>
        </w:rPr>
        <w:t>第13.9</w:t>
      </w:r>
      <w:r>
        <w:rPr>
          <w:rFonts w:hint="eastAsia" w:eastAsia="楷体_GB2312"/>
          <w:sz w:val="24"/>
        </w:rPr>
        <w:t>.1</w:t>
      </w:r>
      <w:r>
        <w:rPr>
          <w:rFonts w:eastAsia="楷体_GB2312"/>
          <w:sz w:val="24"/>
        </w:rPr>
        <w:t>条</w:t>
      </w:r>
      <w:r>
        <w:rPr>
          <w:rFonts w:hint="eastAsia" w:eastAsia="楷体_GB2312"/>
          <w:sz w:val="24"/>
        </w:rPr>
        <w:t>增加以下一段作为第二款</w:t>
      </w:r>
      <w:r>
        <w:rPr>
          <w:rFonts w:eastAsia="楷体_GB2312"/>
          <w:sz w:val="24"/>
        </w:rPr>
        <w:t>：</w:t>
      </w:r>
    </w:p>
    <w:p w14:paraId="29E125EE">
      <w:pPr>
        <w:tabs>
          <w:tab w:val="left" w:pos="0"/>
        </w:tabs>
        <w:spacing w:before="312" w:beforeLines="100"/>
        <w:ind w:firstLine="480" w:firstLineChars="200"/>
        <w:rPr>
          <w:rFonts w:eastAsia="楷体_GB2312"/>
          <w:sz w:val="24"/>
        </w:rPr>
      </w:pPr>
      <w:r>
        <w:rPr>
          <w:rFonts w:eastAsia="楷体_GB2312"/>
          <w:sz w:val="24"/>
        </w:rPr>
        <w:t>为上述第1款之目的，守约方或非受影响方（视情况而定）可以使用按诚信原则及商业上合理的方式购得相关金额其他币种时所使用的汇率，将提前终止应付额或其它金额（或此等金额的任何相关部分）转换成该其他币种的货币。</w:t>
      </w:r>
    </w:p>
    <w:p w14:paraId="5CE69A73">
      <w:pPr>
        <w:spacing w:before="312" w:beforeLines="100"/>
        <w:ind w:left="105" w:leftChars="50" w:firstLine="360" w:firstLineChars="150"/>
        <w:rPr>
          <w:rFonts w:eastAsia="楷体_GB2312"/>
          <w:sz w:val="24"/>
        </w:rPr>
      </w:pPr>
      <w:r>
        <w:rPr>
          <w:rFonts w:hint="eastAsia" w:eastAsia="楷体_GB2312"/>
          <w:sz w:val="24"/>
        </w:rPr>
        <w:t>（2）</w:t>
      </w:r>
      <w:r>
        <w:rPr>
          <w:rFonts w:eastAsia="楷体_GB2312"/>
          <w:sz w:val="24"/>
        </w:rPr>
        <w:t>交易双方同意</w:t>
      </w:r>
      <w:r>
        <w:rPr>
          <w:rFonts w:hint="eastAsia" w:eastAsia="楷体_GB2312"/>
          <w:sz w:val="24"/>
        </w:rPr>
        <w:t>在</w:t>
      </w:r>
      <w:r>
        <w:rPr>
          <w:rFonts w:eastAsia="楷体_GB2312"/>
          <w:b/>
          <w:bCs/>
          <w:sz w:val="24"/>
        </w:rPr>
        <w:t>主协议</w:t>
      </w:r>
      <w:r>
        <w:rPr>
          <w:rFonts w:eastAsia="楷体_GB2312"/>
          <w:sz w:val="24"/>
        </w:rPr>
        <w:t>第13.9</w:t>
      </w:r>
      <w:r>
        <w:rPr>
          <w:rFonts w:hint="eastAsia" w:eastAsia="楷体_GB2312"/>
          <w:sz w:val="24"/>
        </w:rPr>
        <w:t>.2</w:t>
      </w:r>
      <w:r>
        <w:rPr>
          <w:rFonts w:eastAsia="楷体_GB2312"/>
          <w:sz w:val="24"/>
        </w:rPr>
        <w:t>条</w:t>
      </w:r>
      <w:r>
        <w:rPr>
          <w:rFonts w:hint="eastAsia" w:eastAsia="楷体_GB2312"/>
          <w:sz w:val="24"/>
        </w:rPr>
        <w:t>增加以下一段作为第二款</w:t>
      </w:r>
      <w:r>
        <w:rPr>
          <w:rFonts w:eastAsia="楷体_GB2312"/>
          <w:sz w:val="24"/>
        </w:rPr>
        <w:t>：</w:t>
      </w:r>
    </w:p>
    <w:p w14:paraId="202E8676">
      <w:pPr>
        <w:spacing w:before="312" w:beforeLines="100"/>
        <w:ind w:left="105" w:leftChars="50" w:firstLine="360" w:firstLineChars="150"/>
        <w:rPr>
          <w:rFonts w:eastAsia="楷体_GB2312"/>
          <w:sz w:val="24"/>
        </w:rPr>
      </w:pPr>
      <w:r>
        <w:rPr>
          <w:rFonts w:eastAsia="楷体_GB2312"/>
          <w:sz w:val="24"/>
        </w:rPr>
        <w:t>如果抵销金额超出该债务确定时金额的，就超出部分金额，守约方或非受影响方应向另一方予以退还。</w:t>
      </w:r>
    </w:p>
    <w:p w14:paraId="68EE3132">
      <w:pPr>
        <w:spacing w:before="312" w:beforeLines="100"/>
        <w:ind w:left="50" w:firstLine="420"/>
        <w:rPr>
          <w:rFonts w:eastAsia="楷体_GB2312"/>
          <w:b/>
          <w:sz w:val="24"/>
        </w:rPr>
      </w:pPr>
      <w:r>
        <w:rPr>
          <w:rFonts w:hint="eastAsia" w:eastAsia="楷体_GB2312"/>
          <w:b/>
          <w:sz w:val="24"/>
        </w:rPr>
        <w:t>5</w:t>
      </w:r>
      <w:r>
        <w:rPr>
          <w:rFonts w:eastAsia="楷体_GB2312"/>
          <w:b/>
          <w:sz w:val="24"/>
        </w:rPr>
        <w:t>、账户变更</w:t>
      </w:r>
    </w:p>
    <w:p w14:paraId="76A0FA43">
      <w:pPr>
        <w:pStyle w:val="9"/>
        <w:spacing w:before="312" w:beforeLines="100"/>
        <w:ind w:firstLine="480"/>
        <w:jc w:val="left"/>
        <w:rPr>
          <w:rFonts w:eastAsia="楷体_GB2312"/>
          <w:b/>
          <w:color w:val="000000"/>
          <w:sz w:val="24"/>
        </w:rPr>
      </w:pPr>
      <w:r>
        <w:rPr>
          <w:rFonts w:hint="eastAsia" w:ascii="楷体" w:hAnsi="楷体" w:eastAsia="楷体"/>
          <w:b/>
          <w:sz w:val="24"/>
          <w:szCs w:val="24"/>
        </w:rPr>
        <w:t>交易一方</w:t>
      </w:r>
      <w:r>
        <w:rPr>
          <w:rFonts w:hint="eastAsia" w:ascii="楷体" w:hAnsi="楷体" w:eastAsia="楷体"/>
          <w:sz w:val="24"/>
          <w:szCs w:val="24"/>
        </w:rPr>
        <w:t>需要变更其账户的，应不迟于相关付款日或交付日前的第</w:t>
      </w:r>
      <w:r>
        <w:rPr>
          <w:rFonts w:ascii="楷体" w:hAnsi="楷体" w:eastAsia="楷体"/>
          <w:sz w:val="24"/>
          <w:szCs w:val="24"/>
        </w:rPr>
        <w:t>5</w:t>
      </w:r>
      <w:r>
        <w:rPr>
          <w:rFonts w:hint="eastAsia" w:ascii="楷体" w:hAnsi="楷体" w:eastAsia="楷体"/>
          <w:sz w:val="24"/>
          <w:szCs w:val="24"/>
        </w:rPr>
        <w:t>个营业日书面通知另一方。除非另一方在不迟于相关付款日或交付日前的第</w:t>
      </w:r>
      <w:r>
        <w:rPr>
          <w:rFonts w:ascii="楷体" w:hAnsi="楷体" w:eastAsia="楷体"/>
          <w:sz w:val="24"/>
          <w:szCs w:val="24"/>
        </w:rPr>
        <w:t>2</w:t>
      </w:r>
      <w:r>
        <w:rPr>
          <w:rFonts w:hint="eastAsia" w:ascii="楷体" w:hAnsi="楷体" w:eastAsia="楷体"/>
          <w:sz w:val="24"/>
          <w:szCs w:val="24"/>
        </w:rPr>
        <w:t>个营业日就账户变更提出合理的反对意见，该账户变更生效。</w:t>
      </w:r>
    </w:p>
    <w:p w14:paraId="589863DB">
      <w:pPr>
        <w:tabs>
          <w:tab w:val="left" w:pos="340"/>
          <w:tab w:val="left" w:pos="1021"/>
          <w:tab w:val="left" w:pos="1361"/>
          <w:tab w:val="left" w:pos="1701"/>
        </w:tabs>
        <w:spacing w:before="312" w:beforeLines="100"/>
        <w:ind w:firstLine="556"/>
        <w:rPr>
          <w:rFonts w:eastAsia="楷体_GB2312"/>
          <w:color w:val="000000"/>
          <w:sz w:val="24"/>
        </w:rPr>
      </w:pPr>
      <w:r>
        <w:rPr>
          <w:rFonts w:eastAsia="楷体_GB2312"/>
          <w:b/>
          <w:color w:val="000000"/>
          <w:sz w:val="24"/>
        </w:rPr>
        <w:t>交易双方同意主协议</w:t>
      </w:r>
      <w:r>
        <w:rPr>
          <w:rFonts w:eastAsia="楷体_GB2312"/>
          <w:color w:val="000000"/>
          <w:sz w:val="24"/>
        </w:rPr>
        <w:t>第2.3条增加以下一段作为第二段：“若</w:t>
      </w:r>
      <w:r>
        <w:rPr>
          <w:rFonts w:eastAsia="楷体_GB2312"/>
          <w:b/>
          <w:color w:val="000000"/>
          <w:sz w:val="24"/>
        </w:rPr>
        <w:t>交易一方</w:t>
      </w:r>
      <w:r>
        <w:rPr>
          <w:rFonts w:eastAsia="楷体_GB2312"/>
          <w:color w:val="000000"/>
          <w:sz w:val="24"/>
        </w:rPr>
        <w:t>未按前述约定提前通知另一方而擅自变更账户，导致另一方未能及时履行</w:t>
      </w:r>
      <w:r>
        <w:rPr>
          <w:rFonts w:eastAsia="楷体_GB2312"/>
          <w:b/>
          <w:color w:val="000000"/>
          <w:sz w:val="24"/>
        </w:rPr>
        <w:t>本协议</w:t>
      </w:r>
      <w:r>
        <w:rPr>
          <w:rFonts w:eastAsia="楷体_GB2312"/>
          <w:color w:val="000000"/>
          <w:sz w:val="24"/>
        </w:rPr>
        <w:t>项下支付或交付义务的，另一方并不承担延迟履行的责任。擅自变更账户的一方也不得援引另一方未及时付款或交付而要求提前终止交易或主张</w:t>
      </w:r>
      <w:r>
        <w:rPr>
          <w:rFonts w:eastAsia="楷体_GB2312"/>
          <w:b/>
          <w:color w:val="000000"/>
          <w:sz w:val="24"/>
        </w:rPr>
        <w:t>违约事件</w:t>
      </w:r>
      <w:r>
        <w:rPr>
          <w:rFonts w:eastAsia="楷体_GB2312"/>
          <w:color w:val="000000"/>
          <w:sz w:val="24"/>
        </w:rPr>
        <w:t>时</w:t>
      </w:r>
      <w:r>
        <w:rPr>
          <w:rFonts w:eastAsia="楷体_GB2312"/>
          <w:b/>
          <w:color w:val="000000"/>
          <w:sz w:val="24"/>
        </w:rPr>
        <w:t>守约方</w:t>
      </w:r>
      <w:r>
        <w:rPr>
          <w:rFonts w:eastAsia="楷体_GB2312"/>
          <w:color w:val="000000"/>
          <w:sz w:val="24"/>
        </w:rPr>
        <w:t>享有的其他救济措施</w:t>
      </w:r>
      <w:r>
        <w:rPr>
          <w:rFonts w:hint="eastAsia" w:eastAsia="楷体_GB2312"/>
          <w:color w:val="000000"/>
          <w:sz w:val="24"/>
        </w:rPr>
        <w:t>。</w:t>
      </w:r>
      <w:r>
        <w:rPr>
          <w:rFonts w:eastAsia="楷体_GB2312"/>
          <w:color w:val="000000"/>
          <w:sz w:val="24"/>
        </w:rPr>
        <w:t>”</w:t>
      </w:r>
    </w:p>
    <w:p w14:paraId="6CB27912">
      <w:pPr>
        <w:spacing w:before="312" w:beforeLines="100"/>
        <w:ind w:firstLine="420"/>
        <w:rPr>
          <w:rFonts w:eastAsia="楷体_GB2312"/>
          <w:b/>
          <w:sz w:val="24"/>
        </w:rPr>
      </w:pPr>
      <w:r>
        <w:rPr>
          <w:rFonts w:hint="eastAsia" w:eastAsia="楷体_GB2312"/>
          <w:b/>
          <w:sz w:val="24"/>
        </w:rPr>
        <w:t>6、税收</w:t>
      </w:r>
    </w:p>
    <w:p w14:paraId="598E0CB1">
      <w:pPr>
        <w:tabs>
          <w:tab w:val="left" w:pos="340"/>
          <w:tab w:val="left" w:pos="680"/>
          <w:tab w:val="left" w:pos="1021"/>
          <w:tab w:val="left" w:pos="1361"/>
          <w:tab w:val="left" w:pos="1701"/>
        </w:tabs>
        <w:spacing w:before="312" w:beforeLines="100"/>
        <w:ind w:firstLine="480" w:firstLineChars="200"/>
        <w:rPr>
          <w:rFonts w:eastAsia="楷体_GB2312"/>
          <w:sz w:val="24"/>
        </w:rPr>
      </w:pPr>
      <w:r>
        <w:rPr>
          <w:rFonts w:hint="eastAsia" w:eastAsia="楷体_GB2312"/>
          <w:sz w:val="24"/>
        </w:rPr>
        <w:t>除</w:t>
      </w:r>
      <w:r>
        <w:rPr>
          <w:rFonts w:hint="eastAsia" w:eastAsia="楷体_GB2312"/>
          <w:b/>
          <w:sz w:val="24"/>
        </w:rPr>
        <w:t>本协议</w:t>
      </w:r>
      <w:r>
        <w:rPr>
          <w:rFonts w:hint="eastAsia" w:eastAsia="楷体_GB2312"/>
          <w:sz w:val="24"/>
        </w:rPr>
        <w:t>另有约定外，交易双方应当各自承担其因签署和履行</w:t>
      </w:r>
      <w:r>
        <w:rPr>
          <w:rFonts w:hint="eastAsia" w:eastAsia="楷体_GB2312"/>
          <w:b/>
          <w:sz w:val="24"/>
        </w:rPr>
        <w:t>本协议</w:t>
      </w:r>
      <w:r>
        <w:rPr>
          <w:rFonts w:hint="eastAsia" w:eastAsia="楷体_GB2312"/>
          <w:sz w:val="24"/>
        </w:rPr>
        <w:t>及与</w:t>
      </w:r>
      <w:r>
        <w:rPr>
          <w:rFonts w:hint="eastAsia" w:eastAsia="楷体_GB2312"/>
          <w:b/>
          <w:sz w:val="24"/>
        </w:rPr>
        <w:t>本协议</w:t>
      </w:r>
      <w:r>
        <w:rPr>
          <w:rFonts w:hint="eastAsia" w:eastAsia="楷体_GB2312"/>
          <w:sz w:val="24"/>
        </w:rPr>
        <w:t>项下</w:t>
      </w:r>
      <w:r>
        <w:rPr>
          <w:rFonts w:eastAsia="楷体_GB2312"/>
          <w:b/>
          <w:sz w:val="24"/>
        </w:rPr>
        <w:t>交易</w:t>
      </w:r>
      <w:r>
        <w:rPr>
          <w:rFonts w:hint="eastAsia" w:eastAsia="楷体_GB2312"/>
          <w:sz w:val="24"/>
        </w:rPr>
        <w:t>有关的所有税项和费用，任何一方对于</w:t>
      </w:r>
      <w:r>
        <w:rPr>
          <w:rFonts w:hint="eastAsia" w:eastAsia="楷体_GB2312"/>
          <w:b/>
          <w:sz w:val="24"/>
        </w:rPr>
        <w:t>本协议</w:t>
      </w:r>
      <w:r>
        <w:rPr>
          <w:rFonts w:hint="eastAsia" w:eastAsia="楷体_GB2312"/>
          <w:sz w:val="24"/>
        </w:rPr>
        <w:t>项下的所有付款不得以中国税收法律制度项下任何税项为理由拒绝或者减少</w:t>
      </w:r>
      <w:r>
        <w:rPr>
          <w:rFonts w:hint="eastAsia" w:eastAsia="楷体_GB2312"/>
          <w:b/>
          <w:sz w:val="24"/>
        </w:rPr>
        <w:t>本协议</w:t>
      </w:r>
      <w:r>
        <w:rPr>
          <w:rFonts w:hint="eastAsia" w:eastAsia="楷体_GB2312"/>
          <w:sz w:val="24"/>
        </w:rPr>
        <w:t>项下</w:t>
      </w:r>
      <w:r>
        <w:rPr>
          <w:rFonts w:hint="eastAsia" w:eastAsia="楷体_GB2312"/>
          <w:b/>
          <w:sz w:val="24"/>
        </w:rPr>
        <w:t>交易</w:t>
      </w:r>
      <w:r>
        <w:rPr>
          <w:rFonts w:hint="eastAsia" w:eastAsia="楷体_GB2312"/>
          <w:sz w:val="24"/>
        </w:rPr>
        <w:t>的支付；如中国有关税收的法律制度对与</w:t>
      </w:r>
      <w:r>
        <w:rPr>
          <w:rFonts w:hint="eastAsia" w:eastAsia="楷体_GB2312"/>
          <w:b/>
          <w:sz w:val="24"/>
        </w:rPr>
        <w:t>本协议</w:t>
      </w:r>
      <w:r>
        <w:rPr>
          <w:rFonts w:hint="eastAsia" w:eastAsia="楷体_GB2312"/>
          <w:sz w:val="24"/>
        </w:rPr>
        <w:t>的签署和履行以及与</w:t>
      </w:r>
      <w:r>
        <w:rPr>
          <w:rFonts w:hint="eastAsia" w:eastAsia="楷体_GB2312"/>
          <w:b/>
          <w:sz w:val="24"/>
        </w:rPr>
        <w:t>本协议</w:t>
      </w:r>
      <w:r>
        <w:rPr>
          <w:rFonts w:hint="eastAsia" w:eastAsia="楷体_GB2312"/>
          <w:sz w:val="24"/>
        </w:rPr>
        <w:t>项下</w:t>
      </w:r>
      <w:r>
        <w:rPr>
          <w:rFonts w:hint="eastAsia" w:eastAsia="楷体_GB2312"/>
          <w:b/>
          <w:sz w:val="24"/>
        </w:rPr>
        <w:t>交易</w:t>
      </w:r>
      <w:r>
        <w:rPr>
          <w:rFonts w:hint="eastAsia" w:eastAsia="楷体_GB2312"/>
          <w:sz w:val="24"/>
        </w:rPr>
        <w:t>有关的税项和费用有特殊规定，应当按照该规定执行。</w:t>
      </w:r>
    </w:p>
    <w:p w14:paraId="37ED22EE">
      <w:pPr>
        <w:tabs>
          <w:tab w:val="left" w:pos="340"/>
          <w:tab w:val="left" w:pos="680"/>
          <w:tab w:val="left" w:pos="1021"/>
          <w:tab w:val="left" w:pos="1361"/>
          <w:tab w:val="left" w:pos="1701"/>
        </w:tabs>
        <w:spacing w:before="312" w:beforeLines="100"/>
        <w:ind w:firstLine="450"/>
        <w:rPr>
          <w:rFonts w:eastAsia="楷体_GB2312"/>
          <w:b/>
          <w:color w:val="000000"/>
          <w:sz w:val="24"/>
        </w:rPr>
      </w:pPr>
      <w:r>
        <w:rPr>
          <w:rFonts w:eastAsia="楷体_GB2312"/>
          <w:b/>
          <w:color w:val="000000"/>
          <w:sz w:val="24"/>
        </w:rPr>
        <w:t>7</w:t>
      </w:r>
      <w:r>
        <w:rPr>
          <w:rFonts w:hint="eastAsia" w:eastAsia="楷体_GB2312"/>
          <w:b/>
          <w:color w:val="000000"/>
          <w:sz w:val="24"/>
        </w:rPr>
        <w:t>、</w:t>
      </w:r>
      <w:r>
        <w:rPr>
          <w:rFonts w:eastAsia="楷体_GB2312"/>
          <w:b/>
          <w:color w:val="000000"/>
          <w:sz w:val="24"/>
        </w:rPr>
        <w:t>FATCA</w:t>
      </w:r>
      <w:r>
        <w:rPr>
          <w:rFonts w:hint="eastAsia" w:eastAsia="楷体_GB2312"/>
          <w:b/>
          <w:color w:val="000000"/>
          <w:sz w:val="24"/>
        </w:rPr>
        <w:t>相关条款</w:t>
      </w:r>
    </w:p>
    <w:p w14:paraId="5EF6ED09">
      <w:pPr>
        <w:tabs>
          <w:tab w:val="left" w:pos="340"/>
          <w:tab w:val="left" w:pos="680"/>
          <w:tab w:val="left" w:pos="1021"/>
          <w:tab w:val="left" w:pos="1361"/>
          <w:tab w:val="left" w:pos="1701"/>
        </w:tabs>
        <w:spacing w:before="312" w:beforeLines="100"/>
        <w:ind w:firstLine="450"/>
        <w:rPr>
          <w:rFonts w:eastAsia="楷体_GB2312"/>
          <w:color w:val="000000"/>
          <w:sz w:val="24"/>
        </w:rPr>
      </w:pPr>
      <w:r>
        <w:rPr>
          <w:rFonts w:hint="eastAsia" w:eastAsia="楷体_GB2312"/>
          <w:color w:val="000000"/>
          <w:sz w:val="24"/>
        </w:rPr>
        <w:t>乙方若应遵循美国</w:t>
      </w:r>
      <w:r>
        <w:rPr>
          <w:rFonts w:eastAsia="楷体_GB2312"/>
          <w:color w:val="000000"/>
          <w:sz w:val="24"/>
        </w:rPr>
        <w:t>Foreign Account Tax Compliance Act (</w:t>
      </w:r>
      <w:r>
        <w:rPr>
          <w:rFonts w:hint="eastAsia" w:eastAsia="楷体_GB2312"/>
          <w:color w:val="000000"/>
          <w:sz w:val="24"/>
        </w:rPr>
        <w:t>《外国账户税务合规法案》</w:t>
      </w:r>
      <w:r>
        <w:rPr>
          <w:rFonts w:eastAsia="楷体_GB2312"/>
          <w:color w:val="000000"/>
          <w:sz w:val="24"/>
        </w:rPr>
        <w:t>,</w:t>
      </w:r>
      <w:r>
        <w:rPr>
          <w:rFonts w:hint="eastAsia" w:eastAsia="楷体_GB2312"/>
          <w:color w:val="000000"/>
          <w:sz w:val="24"/>
        </w:rPr>
        <w:t>简称“</w:t>
      </w:r>
      <w:r>
        <w:rPr>
          <w:rFonts w:eastAsia="楷体_GB2312"/>
          <w:color w:val="000000"/>
          <w:sz w:val="24"/>
        </w:rPr>
        <w:t xml:space="preserve">FATCA”) </w:t>
      </w:r>
      <w:r>
        <w:rPr>
          <w:rFonts w:hint="eastAsia" w:eastAsia="楷体_GB2312"/>
          <w:color w:val="000000"/>
          <w:sz w:val="24"/>
        </w:rPr>
        <w:t>及中国有关</w:t>
      </w:r>
      <w:r>
        <w:rPr>
          <w:rFonts w:eastAsia="楷体_GB2312"/>
          <w:color w:val="000000"/>
          <w:sz w:val="24"/>
        </w:rPr>
        <w:t>FATCA</w:t>
      </w:r>
      <w:r>
        <w:rPr>
          <w:rFonts w:hint="eastAsia" w:eastAsia="楷体_GB2312"/>
          <w:color w:val="000000"/>
          <w:sz w:val="24"/>
        </w:rPr>
        <w:t>的政府间协定、法律法规、政策指引等规定</w:t>
      </w:r>
      <w:r>
        <w:rPr>
          <w:rFonts w:eastAsia="楷体_GB2312"/>
          <w:color w:val="000000"/>
          <w:sz w:val="24"/>
        </w:rPr>
        <w:t>(</w:t>
      </w:r>
      <w:r>
        <w:rPr>
          <w:rFonts w:hint="eastAsia" w:eastAsia="楷体_GB2312"/>
          <w:color w:val="000000"/>
          <w:sz w:val="24"/>
        </w:rPr>
        <w:t>统称“</w:t>
      </w:r>
      <w:r>
        <w:rPr>
          <w:rFonts w:eastAsia="楷体_GB2312"/>
          <w:color w:val="000000"/>
          <w:sz w:val="24"/>
        </w:rPr>
        <w:t>FATCA</w:t>
      </w:r>
      <w:r>
        <w:rPr>
          <w:rFonts w:hint="eastAsia" w:eastAsia="楷体_GB2312"/>
          <w:color w:val="000000"/>
          <w:sz w:val="24"/>
        </w:rPr>
        <w:t>法规”</w:t>
      </w:r>
      <w:r>
        <w:rPr>
          <w:rFonts w:eastAsia="楷体_GB2312"/>
          <w:color w:val="000000"/>
          <w:sz w:val="24"/>
        </w:rPr>
        <w:t>)</w:t>
      </w:r>
      <w:r>
        <w:rPr>
          <w:rFonts w:hint="eastAsia" w:eastAsia="楷体_GB2312"/>
          <w:color w:val="000000"/>
          <w:sz w:val="24"/>
        </w:rPr>
        <w:t>，则须向甲方提供本机构已签署的《机构户纳税身份声明书》或甲方要求提供的其他用于识别本机构身份的证明资料。如果乙方提供的身份信息或资料发生变化，应在该等信息发生变化之日起</w:t>
      </w:r>
      <w:r>
        <w:rPr>
          <w:rFonts w:eastAsia="楷体_GB2312"/>
          <w:color w:val="000000"/>
          <w:sz w:val="24"/>
        </w:rPr>
        <w:t>30</w:t>
      </w:r>
      <w:r>
        <w:rPr>
          <w:rFonts w:hint="eastAsia" w:eastAsia="楷体_GB2312"/>
          <w:color w:val="000000"/>
          <w:sz w:val="24"/>
        </w:rPr>
        <w:t>日内向甲方办理信息变更手续。乙方将严格遵守上述承诺，否则将承担相关法律责任并赔偿甲方因此造成的全部损失。乙方知悉并同意，甲方有权按照</w:t>
      </w:r>
      <w:r>
        <w:rPr>
          <w:rFonts w:eastAsia="楷体_GB2312"/>
          <w:color w:val="000000"/>
          <w:sz w:val="24"/>
        </w:rPr>
        <w:t>FATCA</w:t>
      </w:r>
      <w:r>
        <w:rPr>
          <w:rFonts w:hint="eastAsia" w:eastAsia="楷体_GB2312"/>
          <w:color w:val="000000"/>
          <w:sz w:val="24"/>
        </w:rPr>
        <w:t>法规的要求向相关政府部门或有关人士披露乙方的客户信息。</w:t>
      </w:r>
    </w:p>
    <w:p w14:paraId="35DCD3C8">
      <w:pPr>
        <w:spacing w:before="312" w:beforeLines="100"/>
        <w:ind w:left="60" w:firstLine="420"/>
        <w:rPr>
          <w:rFonts w:eastAsia="楷体_GB2312"/>
          <w:sz w:val="24"/>
        </w:rPr>
      </w:pPr>
      <w:r>
        <w:rPr>
          <w:rFonts w:eastAsia="楷体_GB2312"/>
          <w:b/>
          <w:color w:val="000000"/>
          <w:sz w:val="24"/>
        </w:rPr>
        <w:t>8</w:t>
      </w:r>
      <w:r>
        <w:rPr>
          <w:rFonts w:hint="eastAsia" w:eastAsia="楷体_GB2312"/>
          <w:b/>
          <w:sz w:val="24"/>
        </w:rPr>
        <w:t>、协议文本及确认</w:t>
      </w:r>
    </w:p>
    <w:p w14:paraId="2F54D384">
      <w:pPr>
        <w:spacing w:before="312" w:beforeLines="100"/>
        <w:ind w:firstLine="480" w:firstLineChars="200"/>
        <w:jc w:val="left"/>
        <w:rPr>
          <w:rFonts w:eastAsia="楷体_GB2312"/>
          <w:sz w:val="24"/>
        </w:rPr>
      </w:pPr>
      <w:r>
        <w:rPr>
          <w:rFonts w:eastAsia="楷体_GB2312"/>
          <w:sz w:val="24"/>
        </w:rPr>
        <w:t>交易双方同意</w:t>
      </w:r>
      <w:r>
        <w:rPr>
          <w:rFonts w:eastAsia="楷体_GB2312"/>
          <w:b/>
          <w:sz w:val="24"/>
        </w:rPr>
        <w:t>主协议</w:t>
      </w:r>
      <w:r>
        <w:rPr>
          <w:rFonts w:eastAsia="楷体_GB2312"/>
          <w:sz w:val="24"/>
        </w:rPr>
        <w:t>第</w:t>
      </w:r>
      <w:r>
        <w:rPr>
          <w:rFonts w:hint="eastAsia" w:eastAsia="楷体_GB2312"/>
          <w:sz w:val="24"/>
        </w:rPr>
        <w:t>13</w:t>
      </w:r>
      <w:r>
        <w:rPr>
          <w:rFonts w:eastAsia="楷体_GB2312"/>
          <w:sz w:val="24"/>
        </w:rPr>
        <w:t>.4.1条应整条被下列文字取代：</w:t>
      </w:r>
    </w:p>
    <w:p w14:paraId="1FD65ACF">
      <w:pPr>
        <w:tabs>
          <w:tab w:val="left" w:pos="340"/>
          <w:tab w:val="left" w:pos="680"/>
          <w:tab w:val="left" w:pos="1021"/>
          <w:tab w:val="left" w:pos="1361"/>
          <w:tab w:val="left" w:pos="1701"/>
        </w:tabs>
        <w:spacing w:before="312" w:beforeLines="100"/>
        <w:ind w:firstLine="480" w:firstLineChars="200"/>
        <w:rPr>
          <w:rFonts w:eastAsia="楷体_GB2312"/>
          <w:sz w:val="24"/>
        </w:rPr>
      </w:pPr>
      <w:r>
        <w:rPr>
          <w:rFonts w:hint="eastAsia" w:eastAsia="楷体_GB2312"/>
          <w:sz w:val="24"/>
        </w:rPr>
        <w:t>“本协议可签署壹式贰份，双方各执一份，经交易双方法定代表人或授权代表签字或盖章，并加盖公司公章后生效，各份均为原件，具有同等效力。”</w:t>
      </w:r>
    </w:p>
    <w:p w14:paraId="02A8C8CF">
      <w:pPr>
        <w:tabs>
          <w:tab w:val="left" w:pos="0"/>
        </w:tabs>
        <w:spacing w:before="312" w:beforeLines="100"/>
        <w:rPr>
          <w:rFonts w:eastAsia="楷体_GB2312"/>
          <w:b/>
          <w:sz w:val="24"/>
        </w:rPr>
      </w:pPr>
      <w:r>
        <w:rPr>
          <w:rFonts w:eastAsia="楷体_GB2312"/>
          <w:b/>
          <w:sz w:val="24"/>
        </w:rPr>
        <w:tab/>
      </w:r>
      <w:r>
        <w:rPr>
          <w:rFonts w:eastAsia="楷体_GB2312"/>
          <w:b/>
          <w:sz w:val="24"/>
        </w:rPr>
        <w:t>9、关于第十四条“定义”的补充约定</w:t>
      </w:r>
    </w:p>
    <w:p w14:paraId="56E285E6">
      <w:pPr>
        <w:spacing w:before="312" w:beforeLines="100"/>
        <w:ind w:firstLine="480" w:firstLineChars="200"/>
        <w:rPr>
          <w:rFonts w:eastAsia="楷体_GB2312"/>
          <w:sz w:val="24"/>
        </w:rPr>
      </w:pPr>
      <w:r>
        <w:rPr>
          <w:rFonts w:eastAsia="楷体_GB2312"/>
          <w:sz w:val="24"/>
        </w:rPr>
        <w:t>（</w:t>
      </w:r>
      <w:r>
        <w:rPr>
          <w:rFonts w:hint="eastAsia" w:eastAsia="楷体_GB2312"/>
          <w:sz w:val="24"/>
        </w:rPr>
        <w:t>1</w:t>
      </w:r>
      <w:r>
        <w:rPr>
          <w:rFonts w:eastAsia="楷体_GB2312"/>
          <w:sz w:val="24"/>
        </w:rPr>
        <w:t>）交易双方同意主协议“</w:t>
      </w:r>
      <w:r>
        <w:rPr>
          <w:rFonts w:eastAsia="楷体_GB2312"/>
          <w:b/>
          <w:sz w:val="24"/>
        </w:rPr>
        <w:t>终止净额计算方</w:t>
      </w:r>
      <w:r>
        <w:rPr>
          <w:rFonts w:eastAsia="楷体_GB2312"/>
          <w:sz w:val="24"/>
        </w:rPr>
        <w:t>”定义被下列文字取代：</w:t>
      </w:r>
    </w:p>
    <w:p w14:paraId="28FA7932">
      <w:pPr>
        <w:spacing w:before="312" w:beforeLines="100"/>
        <w:ind w:firstLine="482"/>
        <w:jc w:val="left"/>
        <w:rPr>
          <w:rFonts w:eastAsia="楷体_GB2312"/>
          <w:sz w:val="24"/>
        </w:rPr>
      </w:pPr>
      <w:r>
        <w:rPr>
          <w:rFonts w:eastAsia="楷体_GB2312"/>
          <w:sz w:val="24"/>
        </w:rPr>
        <w:t>“</w:t>
      </w:r>
      <w:r>
        <w:rPr>
          <w:rFonts w:eastAsia="楷体_GB2312"/>
          <w:b/>
          <w:sz w:val="24"/>
        </w:rPr>
        <w:t>终止净额计算方：</w:t>
      </w:r>
      <w:bookmarkStart w:id="6" w:name="OLE_LINK50"/>
      <w:bookmarkStart w:id="7" w:name="OLE_LINK49"/>
      <w:r>
        <w:rPr>
          <w:rFonts w:hint="eastAsia" w:eastAsia="楷体_GB2312"/>
          <w:sz w:val="24"/>
        </w:rPr>
        <w:t>本协议任何情形下计算方均为甲方，由甲方根据交易所公布的数据或根据相关市场惯例按照诚实信用原则并以商业上合理的方式确定标的证券或本协议下其他相关标的的估值。</w:t>
      </w:r>
      <w:bookmarkEnd w:id="6"/>
      <w:bookmarkEnd w:id="7"/>
      <w:r>
        <w:rPr>
          <w:rFonts w:eastAsia="楷体_GB2312"/>
          <w:sz w:val="24"/>
        </w:rPr>
        <w:t>”</w:t>
      </w:r>
    </w:p>
    <w:p w14:paraId="662ABAEC">
      <w:pPr>
        <w:jc w:val="left"/>
        <w:rPr>
          <w:rFonts w:eastAsia="楷体_GB2312"/>
          <w:sz w:val="24"/>
        </w:rPr>
      </w:pPr>
      <w:r>
        <w:rPr>
          <w:rFonts w:eastAsia="楷体_GB2312"/>
          <w:b/>
          <w:sz w:val="24"/>
        </w:rPr>
        <w:br w:type="page"/>
      </w:r>
      <w:r>
        <w:rPr>
          <w:rFonts w:hint="eastAsia" w:eastAsia="楷体_GB2312"/>
          <w:sz w:val="24"/>
        </w:rPr>
        <w:t>本页</w:t>
      </w:r>
      <w:r>
        <w:rPr>
          <w:rFonts w:eastAsia="楷体_GB2312"/>
          <w:sz w:val="24"/>
        </w:rPr>
        <w:t>无正文，为《</w:t>
      </w:r>
      <w:r>
        <w:rPr>
          <w:rFonts w:hint="eastAsia" w:eastAsia="楷体_GB2312"/>
          <w:sz w:val="24"/>
        </w:rPr>
        <w:t>中国证券期货市场衍生品交易主协议</w:t>
      </w:r>
      <w:r>
        <w:rPr>
          <w:rFonts w:eastAsia="楷体_GB2312"/>
          <w:sz w:val="24"/>
        </w:rPr>
        <w:t>》补充协议签署页。</w:t>
      </w:r>
    </w:p>
    <w:p w14:paraId="6B8F8019">
      <w:pPr>
        <w:tabs>
          <w:tab w:val="left" w:pos="340"/>
          <w:tab w:val="left" w:pos="680"/>
          <w:tab w:val="left" w:pos="1021"/>
          <w:tab w:val="left" w:pos="1361"/>
          <w:tab w:val="left" w:pos="1701"/>
        </w:tabs>
        <w:spacing w:before="312" w:beforeLines="100" w:line="300" w:lineRule="auto"/>
        <w:ind w:firstLine="480" w:firstLineChars="200"/>
        <w:rPr>
          <w:rFonts w:eastAsia="楷体_GB2312"/>
          <w:sz w:val="24"/>
        </w:rPr>
      </w:pPr>
    </w:p>
    <w:tbl>
      <w:tblPr>
        <w:tblStyle w:val="7"/>
        <w:tblW w:w="8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8"/>
        <w:gridCol w:w="2750"/>
        <w:gridCol w:w="1710"/>
        <w:gridCol w:w="2704"/>
      </w:tblGrid>
      <w:tr w14:paraId="1B84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8" w:type="dxa"/>
          </w:tcPr>
          <w:p w14:paraId="77DA5CB6">
            <w:pPr>
              <w:tabs>
                <w:tab w:val="left" w:pos="340"/>
                <w:tab w:val="left" w:pos="680"/>
                <w:tab w:val="left" w:pos="1021"/>
                <w:tab w:val="left" w:pos="1361"/>
                <w:tab w:val="left" w:pos="1701"/>
              </w:tabs>
              <w:spacing w:before="312" w:beforeLines="100" w:line="300" w:lineRule="auto"/>
              <w:rPr>
                <w:rFonts w:eastAsia="楷体_GB2312"/>
                <w:sz w:val="24"/>
              </w:rPr>
            </w:pPr>
            <w:r>
              <w:rPr>
                <w:rFonts w:eastAsia="楷体_GB2312"/>
                <w:sz w:val="24"/>
              </w:rPr>
              <w:t>甲方</w:t>
            </w:r>
          </w:p>
        </w:tc>
        <w:tc>
          <w:tcPr>
            <w:tcW w:w="2750" w:type="dxa"/>
            <w:tcBorders>
              <w:bottom w:val="single" w:color="auto" w:sz="4" w:space="0"/>
            </w:tcBorders>
          </w:tcPr>
          <w:p w14:paraId="22A826D7">
            <w:pPr>
              <w:tabs>
                <w:tab w:val="left" w:pos="340"/>
                <w:tab w:val="left" w:pos="680"/>
                <w:tab w:val="left" w:pos="1021"/>
                <w:tab w:val="left" w:pos="1361"/>
                <w:tab w:val="left" w:pos="1701"/>
              </w:tabs>
              <w:spacing w:before="312" w:beforeLines="100" w:line="300" w:lineRule="auto"/>
              <w:rPr>
                <w:rFonts w:eastAsia="楷体_GB2312"/>
                <w:sz w:val="24"/>
              </w:rPr>
            </w:pPr>
            <w:r>
              <w:rPr>
                <w:rFonts w:hint="eastAsia" w:eastAsia="楷体_GB2312"/>
                <w:sz w:val="24"/>
                <w:lang w:eastAsia="zh-CN"/>
              </w:rPr>
              <w:t>XX</w:t>
            </w:r>
            <w:r>
              <w:rPr>
                <w:rFonts w:hint="eastAsia" w:eastAsia="楷体_GB2312"/>
                <w:sz w:val="24"/>
              </w:rPr>
              <w:t>证券</w:t>
            </w:r>
            <w:r>
              <w:rPr>
                <w:rFonts w:eastAsia="楷体_GB2312"/>
                <w:sz w:val="24"/>
              </w:rPr>
              <w:t>股份有限公司</w:t>
            </w:r>
          </w:p>
        </w:tc>
        <w:tc>
          <w:tcPr>
            <w:tcW w:w="1710" w:type="dxa"/>
          </w:tcPr>
          <w:p w14:paraId="7A61D8D0">
            <w:pPr>
              <w:tabs>
                <w:tab w:val="left" w:pos="340"/>
                <w:tab w:val="left" w:pos="680"/>
                <w:tab w:val="left" w:pos="1021"/>
                <w:tab w:val="left" w:pos="1361"/>
                <w:tab w:val="left" w:pos="1701"/>
              </w:tabs>
              <w:spacing w:before="312" w:beforeLines="100" w:line="300" w:lineRule="auto"/>
              <w:rPr>
                <w:rFonts w:eastAsia="楷体_GB2312"/>
                <w:sz w:val="24"/>
              </w:rPr>
            </w:pPr>
            <w:r>
              <w:rPr>
                <w:rFonts w:hint="eastAsia" w:eastAsia="楷体_GB2312"/>
                <w:sz w:val="24"/>
              </w:rPr>
              <w:t>乙</w:t>
            </w:r>
            <w:r>
              <w:rPr>
                <w:rFonts w:eastAsia="楷体_GB2312"/>
                <w:sz w:val="24"/>
              </w:rPr>
              <w:t>方</w:t>
            </w:r>
          </w:p>
        </w:tc>
        <w:tc>
          <w:tcPr>
            <w:tcW w:w="2704" w:type="dxa"/>
            <w:tcBorders>
              <w:bottom w:val="single" w:color="auto" w:sz="4" w:space="0"/>
            </w:tcBorders>
          </w:tcPr>
          <w:p w14:paraId="4CF13CE9">
            <w:pPr>
              <w:tabs>
                <w:tab w:val="left" w:pos="340"/>
                <w:tab w:val="left" w:pos="680"/>
                <w:tab w:val="left" w:pos="1021"/>
                <w:tab w:val="left" w:pos="1361"/>
                <w:tab w:val="left" w:pos="1701"/>
              </w:tabs>
              <w:spacing w:before="312" w:beforeLines="100" w:line="300" w:lineRule="auto"/>
              <w:rPr>
                <w:rFonts w:eastAsia="楷体_GB2312"/>
                <w:sz w:val="24"/>
              </w:rPr>
            </w:pPr>
            <w:r>
              <w:rPr>
                <w:rFonts w:hint="eastAsia" w:eastAsia="楷体_GB2312"/>
                <w:sz w:val="24"/>
                <w:u w:val="single"/>
              </w:rPr>
              <w:t xml:space="preserve">        </w:t>
            </w:r>
            <w:r>
              <w:rPr>
                <w:rFonts w:eastAsia="楷体_GB2312"/>
                <w:sz w:val="24"/>
                <w:u w:val="single"/>
              </w:rPr>
              <w:t xml:space="preserve">    </w:t>
            </w:r>
            <w:r>
              <w:rPr>
                <w:rFonts w:hint="eastAsia" w:eastAsia="楷体_GB2312"/>
                <w:sz w:val="24"/>
                <w:u w:val="single"/>
              </w:rPr>
              <w:t xml:space="preserve">        </w:t>
            </w:r>
            <w:r>
              <w:rPr>
                <w:rFonts w:hint="eastAsia" w:eastAsia="楷体_GB2312"/>
                <w:sz w:val="24"/>
              </w:rPr>
              <w:t>作为管理人代表其管理的代签产品列表中每一只产品</w:t>
            </w:r>
            <w:r>
              <w:rPr>
                <w:rFonts w:eastAsia="楷体_GB2312"/>
                <w:sz w:val="24"/>
              </w:rPr>
              <w:t xml:space="preserve">                            </w:t>
            </w:r>
          </w:p>
        </w:tc>
      </w:tr>
      <w:tr w14:paraId="414E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8" w:type="dxa"/>
          </w:tcPr>
          <w:p w14:paraId="1229ED84">
            <w:pPr>
              <w:tabs>
                <w:tab w:val="left" w:pos="340"/>
                <w:tab w:val="left" w:pos="680"/>
                <w:tab w:val="left" w:pos="1021"/>
                <w:tab w:val="left" w:pos="1361"/>
                <w:tab w:val="left" w:pos="1701"/>
              </w:tabs>
              <w:spacing w:before="312" w:beforeLines="100" w:line="300" w:lineRule="auto"/>
              <w:rPr>
                <w:rFonts w:eastAsia="楷体_GB2312"/>
                <w:sz w:val="24"/>
              </w:rPr>
            </w:pPr>
            <w:r>
              <w:rPr>
                <w:rFonts w:eastAsia="楷体_GB2312"/>
                <w:sz w:val="24"/>
              </w:rPr>
              <w:t xml:space="preserve">（公章） </w:t>
            </w:r>
          </w:p>
        </w:tc>
        <w:tc>
          <w:tcPr>
            <w:tcW w:w="2750" w:type="dxa"/>
            <w:tcBorders>
              <w:top w:val="single" w:color="auto" w:sz="4" w:space="0"/>
              <w:bottom w:val="single" w:color="auto" w:sz="4" w:space="0"/>
            </w:tcBorders>
          </w:tcPr>
          <w:p w14:paraId="07BE08B9">
            <w:pPr>
              <w:tabs>
                <w:tab w:val="left" w:pos="340"/>
                <w:tab w:val="left" w:pos="680"/>
                <w:tab w:val="left" w:pos="1021"/>
                <w:tab w:val="left" w:pos="1361"/>
                <w:tab w:val="left" w:pos="1701"/>
              </w:tabs>
              <w:spacing w:before="312" w:beforeLines="100" w:line="300" w:lineRule="auto"/>
              <w:rPr>
                <w:rFonts w:eastAsia="楷体_GB2312"/>
                <w:sz w:val="24"/>
              </w:rPr>
            </w:pPr>
          </w:p>
        </w:tc>
        <w:tc>
          <w:tcPr>
            <w:tcW w:w="1710" w:type="dxa"/>
          </w:tcPr>
          <w:p w14:paraId="418A65B6">
            <w:pPr>
              <w:tabs>
                <w:tab w:val="left" w:pos="340"/>
                <w:tab w:val="left" w:pos="680"/>
                <w:tab w:val="left" w:pos="1021"/>
                <w:tab w:val="left" w:pos="1361"/>
                <w:tab w:val="left" w:pos="1701"/>
              </w:tabs>
              <w:spacing w:before="312" w:beforeLines="100" w:line="300" w:lineRule="auto"/>
              <w:rPr>
                <w:rFonts w:eastAsia="楷体_GB2312"/>
                <w:sz w:val="24"/>
              </w:rPr>
            </w:pPr>
            <w:r>
              <w:rPr>
                <w:rFonts w:eastAsia="楷体_GB2312"/>
                <w:sz w:val="24"/>
              </w:rPr>
              <w:t xml:space="preserve">（公章） </w:t>
            </w:r>
          </w:p>
        </w:tc>
        <w:tc>
          <w:tcPr>
            <w:tcW w:w="2704" w:type="dxa"/>
            <w:tcBorders>
              <w:top w:val="single" w:color="auto" w:sz="4" w:space="0"/>
              <w:bottom w:val="single" w:color="auto" w:sz="4" w:space="0"/>
            </w:tcBorders>
          </w:tcPr>
          <w:p w14:paraId="03041A24">
            <w:pPr>
              <w:tabs>
                <w:tab w:val="left" w:pos="340"/>
                <w:tab w:val="left" w:pos="680"/>
                <w:tab w:val="left" w:pos="1021"/>
                <w:tab w:val="left" w:pos="1361"/>
                <w:tab w:val="left" w:pos="1701"/>
              </w:tabs>
              <w:spacing w:before="312" w:beforeLines="100" w:line="300" w:lineRule="auto"/>
              <w:rPr>
                <w:rFonts w:eastAsia="楷体_GB2312"/>
                <w:sz w:val="24"/>
              </w:rPr>
            </w:pPr>
          </w:p>
        </w:tc>
      </w:tr>
      <w:tr w14:paraId="585D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8" w:type="dxa"/>
          </w:tcPr>
          <w:p w14:paraId="3E498AC5">
            <w:pPr>
              <w:tabs>
                <w:tab w:val="left" w:pos="340"/>
                <w:tab w:val="left" w:pos="680"/>
                <w:tab w:val="left" w:pos="1021"/>
                <w:tab w:val="left" w:pos="1361"/>
                <w:tab w:val="left" w:pos="1701"/>
              </w:tabs>
              <w:spacing w:before="312" w:beforeLines="100" w:line="300" w:lineRule="auto"/>
              <w:rPr>
                <w:rFonts w:eastAsia="楷体_GB2312"/>
                <w:sz w:val="24"/>
              </w:rPr>
            </w:pPr>
            <w:r>
              <w:rPr>
                <w:rFonts w:hint="eastAsia" w:eastAsia="楷体_GB2312"/>
                <w:sz w:val="24"/>
              </w:rPr>
              <w:t>授权代表签字</w:t>
            </w:r>
          </w:p>
        </w:tc>
        <w:tc>
          <w:tcPr>
            <w:tcW w:w="2750" w:type="dxa"/>
            <w:tcBorders>
              <w:top w:val="single" w:color="auto" w:sz="4" w:space="0"/>
              <w:bottom w:val="single" w:color="auto" w:sz="4" w:space="0"/>
            </w:tcBorders>
          </w:tcPr>
          <w:p w14:paraId="1CF773C5">
            <w:pPr>
              <w:tabs>
                <w:tab w:val="left" w:pos="340"/>
                <w:tab w:val="left" w:pos="680"/>
                <w:tab w:val="left" w:pos="1021"/>
                <w:tab w:val="left" w:pos="1361"/>
                <w:tab w:val="left" w:pos="1701"/>
              </w:tabs>
              <w:spacing w:before="312" w:beforeLines="100" w:line="300" w:lineRule="auto"/>
              <w:rPr>
                <w:rFonts w:eastAsia="楷体_GB2312"/>
                <w:sz w:val="24"/>
              </w:rPr>
            </w:pPr>
          </w:p>
        </w:tc>
        <w:tc>
          <w:tcPr>
            <w:tcW w:w="1710" w:type="dxa"/>
          </w:tcPr>
          <w:p w14:paraId="5D3DFB9B">
            <w:pPr>
              <w:tabs>
                <w:tab w:val="left" w:pos="340"/>
                <w:tab w:val="left" w:pos="680"/>
                <w:tab w:val="left" w:pos="1021"/>
                <w:tab w:val="left" w:pos="1361"/>
                <w:tab w:val="left" w:pos="1701"/>
              </w:tabs>
              <w:spacing w:before="312" w:beforeLines="100" w:line="300" w:lineRule="auto"/>
              <w:rPr>
                <w:rFonts w:eastAsia="楷体_GB2312"/>
                <w:sz w:val="24"/>
              </w:rPr>
            </w:pPr>
            <w:r>
              <w:rPr>
                <w:rFonts w:hint="eastAsia" w:eastAsia="楷体_GB2312"/>
                <w:sz w:val="24"/>
              </w:rPr>
              <w:t>授权代表签字</w:t>
            </w:r>
          </w:p>
        </w:tc>
        <w:tc>
          <w:tcPr>
            <w:tcW w:w="2704" w:type="dxa"/>
            <w:tcBorders>
              <w:top w:val="single" w:color="auto" w:sz="4" w:space="0"/>
              <w:bottom w:val="single" w:color="auto" w:sz="4" w:space="0"/>
            </w:tcBorders>
          </w:tcPr>
          <w:p w14:paraId="2F2853B1">
            <w:pPr>
              <w:tabs>
                <w:tab w:val="left" w:pos="340"/>
                <w:tab w:val="left" w:pos="680"/>
                <w:tab w:val="left" w:pos="1021"/>
                <w:tab w:val="left" w:pos="1361"/>
                <w:tab w:val="left" w:pos="1701"/>
              </w:tabs>
              <w:spacing w:before="312" w:beforeLines="100" w:line="300" w:lineRule="auto"/>
              <w:rPr>
                <w:rFonts w:eastAsia="楷体_GB2312"/>
                <w:sz w:val="24"/>
              </w:rPr>
            </w:pPr>
          </w:p>
        </w:tc>
      </w:tr>
      <w:tr w14:paraId="08FC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8" w:type="dxa"/>
          </w:tcPr>
          <w:p w14:paraId="112C3661">
            <w:pPr>
              <w:tabs>
                <w:tab w:val="left" w:pos="340"/>
                <w:tab w:val="left" w:pos="680"/>
                <w:tab w:val="left" w:pos="1021"/>
                <w:tab w:val="left" w:pos="1361"/>
                <w:tab w:val="left" w:pos="1701"/>
              </w:tabs>
              <w:spacing w:before="312" w:beforeLines="100" w:line="300" w:lineRule="auto"/>
              <w:rPr>
                <w:rFonts w:eastAsia="楷体_GB2312"/>
                <w:sz w:val="24"/>
              </w:rPr>
            </w:pPr>
            <w:r>
              <w:rPr>
                <w:rFonts w:hint="eastAsia" w:eastAsia="楷体_GB2312"/>
                <w:sz w:val="24"/>
              </w:rPr>
              <w:t>授权代表职务</w:t>
            </w:r>
          </w:p>
        </w:tc>
        <w:tc>
          <w:tcPr>
            <w:tcW w:w="2750" w:type="dxa"/>
            <w:tcBorders>
              <w:top w:val="single" w:color="auto" w:sz="4" w:space="0"/>
              <w:bottom w:val="single" w:color="auto" w:sz="4" w:space="0"/>
            </w:tcBorders>
          </w:tcPr>
          <w:p w14:paraId="37CA26E9">
            <w:pPr>
              <w:tabs>
                <w:tab w:val="left" w:pos="340"/>
                <w:tab w:val="left" w:pos="680"/>
                <w:tab w:val="left" w:pos="1021"/>
                <w:tab w:val="left" w:pos="1361"/>
                <w:tab w:val="left" w:pos="1701"/>
              </w:tabs>
              <w:spacing w:before="312" w:beforeLines="100" w:line="300" w:lineRule="auto"/>
              <w:rPr>
                <w:rFonts w:eastAsia="楷体_GB2312"/>
                <w:sz w:val="24"/>
              </w:rPr>
            </w:pPr>
          </w:p>
        </w:tc>
        <w:tc>
          <w:tcPr>
            <w:tcW w:w="1710" w:type="dxa"/>
          </w:tcPr>
          <w:p w14:paraId="1CE56753">
            <w:pPr>
              <w:tabs>
                <w:tab w:val="left" w:pos="340"/>
                <w:tab w:val="left" w:pos="680"/>
                <w:tab w:val="left" w:pos="1021"/>
                <w:tab w:val="left" w:pos="1361"/>
                <w:tab w:val="left" w:pos="1701"/>
              </w:tabs>
              <w:spacing w:before="312" w:beforeLines="100" w:line="300" w:lineRule="auto"/>
              <w:rPr>
                <w:rFonts w:eastAsia="楷体_GB2312"/>
                <w:sz w:val="24"/>
              </w:rPr>
            </w:pPr>
            <w:r>
              <w:rPr>
                <w:rFonts w:hint="eastAsia" w:eastAsia="楷体_GB2312"/>
                <w:sz w:val="24"/>
              </w:rPr>
              <w:t>授权代表职务</w:t>
            </w:r>
          </w:p>
        </w:tc>
        <w:tc>
          <w:tcPr>
            <w:tcW w:w="2704" w:type="dxa"/>
            <w:tcBorders>
              <w:top w:val="single" w:color="auto" w:sz="4" w:space="0"/>
              <w:bottom w:val="single" w:color="auto" w:sz="4" w:space="0"/>
            </w:tcBorders>
          </w:tcPr>
          <w:p w14:paraId="62CBBEEA">
            <w:pPr>
              <w:tabs>
                <w:tab w:val="left" w:pos="340"/>
                <w:tab w:val="left" w:pos="680"/>
                <w:tab w:val="left" w:pos="1021"/>
                <w:tab w:val="left" w:pos="1361"/>
                <w:tab w:val="left" w:pos="1701"/>
              </w:tabs>
              <w:spacing w:before="312" w:beforeLines="100" w:line="300" w:lineRule="auto"/>
              <w:rPr>
                <w:rFonts w:eastAsia="楷体_GB2312"/>
                <w:sz w:val="24"/>
              </w:rPr>
            </w:pPr>
          </w:p>
        </w:tc>
      </w:tr>
      <w:tr w14:paraId="789F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8" w:type="dxa"/>
          </w:tcPr>
          <w:p w14:paraId="1B412732">
            <w:pPr>
              <w:tabs>
                <w:tab w:val="left" w:pos="340"/>
                <w:tab w:val="left" w:pos="680"/>
                <w:tab w:val="left" w:pos="1021"/>
                <w:tab w:val="left" w:pos="1361"/>
                <w:tab w:val="left" w:pos="1701"/>
              </w:tabs>
              <w:spacing w:before="312" w:beforeLines="100" w:line="300" w:lineRule="auto"/>
              <w:rPr>
                <w:rFonts w:eastAsia="楷体_GB2312"/>
                <w:sz w:val="24"/>
              </w:rPr>
            </w:pPr>
            <w:r>
              <w:rPr>
                <w:rFonts w:hint="eastAsia" w:eastAsia="楷体_GB2312"/>
                <w:sz w:val="24"/>
              </w:rPr>
              <w:t>日期</w:t>
            </w:r>
          </w:p>
        </w:tc>
        <w:tc>
          <w:tcPr>
            <w:tcW w:w="2750" w:type="dxa"/>
            <w:tcBorders>
              <w:top w:val="single" w:color="auto" w:sz="4" w:space="0"/>
              <w:bottom w:val="single" w:color="auto" w:sz="4" w:space="0"/>
            </w:tcBorders>
          </w:tcPr>
          <w:p w14:paraId="31BC813F">
            <w:pPr>
              <w:tabs>
                <w:tab w:val="left" w:pos="340"/>
                <w:tab w:val="left" w:pos="680"/>
                <w:tab w:val="left" w:pos="1021"/>
                <w:tab w:val="left" w:pos="1361"/>
                <w:tab w:val="left" w:pos="1701"/>
              </w:tabs>
              <w:spacing w:before="312" w:beforeLines="100" w:line="300" w:lineRule="auto"/>
              <w:ind w:firstLine="240" w:firstLineChars="100"/>
              <w:rPr>
                <w:rFonts w:eastAsia="楷体_GB2312"/>
                <w:sz w:val="24"/>
              </w:rPr>
            </w:pPr>
            <w:r>
              <w:rPr>
                <w:rFonts w:hint="eastAsia" w:eastAsia="楷体_GB2312"/>
                <w:sz w:val="24"/>
              </w:rPr>
              <w:t>年  月  日</w:t>
            </w:r>
          </w:p>
        </w:tc>
        <w:tc>
          <w:tcPr>
            <w:tcW w:w="1710" w:type="dxa"/>
          </w:tcPr>
          <w:p w14:paraId="741E6475">
            <w:pPr>
              <w:tabs>
                <w:tab w:val="left" w:pos="340"/>
                <w:tab w:val="left" w:pos="680"/>
                <w:tab w:val="left" w:pos="1021"/>
                <w:tab w:val="left" w:pos="1361"/>
                <w:tab w:val="left" w:pos="1701"/>
              </w:tabs>
              <w:spacing w:before="312" w:beforeLines="100" w:line="300" w:lineRule="auto"/>
              <w:rPr>
                <w:rFonts w:eastAsia="楷体_GB2312"/>
                <w:sz w:val="24"/>
              </w:rPr>
            </w:pPr>
            <w:r>
              <w:rPr>
                <w:rFonts w:hint="eastAsia" w:eastAsia="楷体_GB2312"/>
                <w:sz w:val="24"/>
              </w:rPr>
              <w:t>日期</w:t>
            </w:r>
          </w:p>
        </w:tc>
        <w:tc>
          <w:tcPr>
            <w:tcW w:w="2704" w:type="dxa"/>
            <w:tcBorders>
              <w:top w:val="single" w:color="auto" w:sz="4" w:space="0"/>
              <w:bottom w:val="single" w:color="auto" w:sz="4" w:space="0"/>
            </w:tcBorders>
          </w:tcPr>
          <w:p w14:paraId="128167EB">
            <w:pPr>
              <w:tabs>
                <w:tab w:val="left" w:pos="340"/>
                <w:tab w:val="left" w:pos="680"/>
                <w:tab w:val="left" w:pos="1021"/>
                <w:tab w:val="left" w:pos="1361"/>
                <w:tab w:val="left" w:pos="1701"/>
              </w:tabs>
              <w:spacing w:before="312" w:beforeLines="100" w:line="300" w:lineRule="auto"/>
              <w:ind w:firstLine="240" w:firstLineChars="100"/>
              <w:rPr>
                <w:rFonts w:eastAsia="楷体_GB2312"/>
                <w:sz w:val="24"/>
              </w:rPr>
            </w:pPr>
            <w:r>
              <w:rPr>
                <w:rFonts w:hint="eastAsia" w:eastAsia="楷体_GB2312"/>
                <w:sz w:val="24"/>
              </w:rPr>
              <w:t>年  月  日</w:t>
            </w:r>
          </w:p>
        </w:tc>
      </w:tr>
    </w:tbl>
    <w:p w14:paraId="287DECFC">
      <w:pPr>
        <w:spacing w:line="300" w:lineRule="auto"/>
        <w:rPr>
          <w:rFonts w:eastAsia="楷体_GB2312"/>
        </w:rPr>
      </w:pPr>
    </w:p>
    <w:p w14:paraId="1912D35F"/>
    <w:p w14:paraId="1075AC31"/>
    <w:p w14:paraId="129B0606"/>
    <w:p w14:paraId="1FF09AE5"/>
    <w:p w14:paraId="2C987141"/>
    <w:p w14:paraId="44985D9F"/>
    <w:p w14:paraId="1AE9DD3C"/>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6B1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4CF03">
                          <w:pPr>
                            <w:pStyle w:val="4"/>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E4CF03">
                    <w:pPr>
                      <w:pStyle w:val="4"/>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65F3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BFA16"/>
    <w:multiLevelType w:val="singleLevel"/>
    <w:tmpl w:val="D5BBFA16"/>
    <w:lvl w:ilvl="0" w:tentative="0">
      <w:start w:val="1"/>
      <w:numFmt w:val="decimal"/>
      <w:suff w:val="nothing"/>
      <w:lvlText w:val="（%1）"/>
      <w:lvlJc w:val="left"/>
    </w:lvl>
  </w:abstractNum>
  <w:abstractNum w:abstractNumId="1">
    <w:nsid w:val="4713A93A"/>
    <w:multiLevelType w:val="singleLevel"/>
    <w:tmpl w:val="4713A93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mUzZDkzZGMxNmY5ODRiZDZlMmFjMmRkZWIwNzIifQ=="/>
  </w:docVars>
  <w:rsids>
    <w:rsidRoot w:val="00E06385"/>
    <w:rsid w:val="000B4355"/>
    <w:rsid w:val="0010720D"/>
    <w:rsid w:val="001C652C"/>
    <w:rsid w:val="002D108E"/>
    <w:rsid w:val="00671FB5"/>
    <w:rsid w:val="0078550E"/>
    <w:rsid w:val="00974697"/>
    <w:rsid w:val="00B653CF"/>
    <w:rsid w:val="00BD31AD"/>
    <w:rsid w:val="00D6576C"/>
    <w:rsid w:val="00DC1D9D"/>
    <w:rsid w:val="00E06385"/>
    <w:rsid w:val="00E074C9"/>
    <w:rsid w:val="17A35893"/>
    <w:rsid w:val="2D1D084A"/>
    <w:rsid w:val="2FC91596"/>
    <w:rsid w:val="3F216802"/>
    <w:rsid w:val="4A2A68D0"/>
    <w:rsid w:val="4E902FD9"/>
    <w:rsid w:val="76F62362"/>
    <w:rsid w:val="7D30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2"/>
    <w:basedOn w:val="1"/>
    <w:qFormat/>
    <w:uiPriority w:val="0"/>
    <w:pPr>
      <w:spacing w:line="500" w:lineRule="exact"/>
      <w:ind w:firstLine="570"/>
      <w:jc w:val="left"/>
    </w:pPr>
    <w:rPr>
      <w:rFonts w:ascii="宋体" w:hAnsi="宋体" w:eastAsia="宋体"/>
      <w:sz w:val="28"/>
    </w:rPr>
  </w:style>
  <w:style w:type="paragraph" w:styleId="4">
    <w:name w:val="footer"/>
    <w:basedOn w:val="1"/>
    <w:link w:val="11"/>
    <w:qFormat/>
    <w:uiPriority w:val="0"/>
    <w:pPr>
      <w:tabs>
        <w:tab w:val="center" w:pos="4320"/>
        <w:tab w:val="right" w:pos="8640"/>
      </w:tabs>
    </w:pPr>
  </w:style>
  <w:style w:type="paragraph" w:styleId="5">
    <w:name w:val="header"/>
    <w:basedOn w:val="1"/>
    <w:link w:val="10"/>
    <w:qFormat/>
    <w:uiPriority w:val="0"/>
    <w:pPr>
      <w:tabs>
        <w:tab w:val="center" w:pos="4320"/>
        <w:tab w:val="right" w:pos="8640"/>
      </w:tabs>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rPr>
      <w:rFonts w:eastAsia="宋体"/>
      <w:szCs w:val="22"/>
    </w:rPr>
  </w:style>
  <w:style w:type="character" w:customStyle="1" w:styleId="10">
    <w:name w:val="页眉 字符"/>
    <w:basedOn w:val="8"/>
    <w:link w:val="5"/>
    <w:qFormat/>
    <w:uiPriority w:val="0"/>
    <w:rPr>
      <w:kern w:val="2"/>
      <w:sz w:val="21"/>
      <w:szCs w:val="24"/>
    </w:rPr>
  </w:style>
  <w:style w:type="character" w:customStyle="1" w:styleId="11">
    <w:name w:val="页脚 字符"/>
    <w:basedOn w:val="8"/>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10186</Words>
  <Characters>10423</Characters>
  <Lines>76</Lines>
  <Paragraphs>21</Paragraphs>
  <TotalTime>7</TotalTime>
  <ScaleCrop>false</ScaleCrop>
  <LinksUpToDate>false</LinksUpToDate>
  <CharactersWithSpaces>10534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2022-03-06T10:19:00Z</dcterms:created>
  <dc:creator>Administrator</dc:creator>
  <cp:lastModifiedBy>AJMD</cp:lastModifiedBy>
  <dcterms:modified xsi:type="dcterms:W3CDTF">2024-08-08T02:51:12Z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55721FD3961A4459B28D7F6D3D6C471B</vt:lpwstr>
  </property>
</Properties>
</file>