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9AF84">
      <w:pPr>
        <w:ind w:firstLine="560"/>
        <w:jc w:val="center"/>
        <w:rPr>
          <w:rFonts w:hint="eastAsia" w:ascii="仿宋" w:hAnsi="仿宋" w:eastAsia="仿宋" w:cs="仿宋"/>
          <w:b/>
          <w:bCs/>
          <w:kern w:val="0"/>
          <w:sz w:val="30"/>
          <w:szCs w:val="30"/>
        </w:rPr>
      </w:pPr>
      <w:r>
        <w:rPr>
          <w:rFonts w:hint="eastAsia" w:ascii="仿宋" w:hAnsi="仿宋" w:eastAsia="仿宋" w:cs="仿宋"/>
          <w:b/>
          <w:bCs/>
          <w:kern w:val="0"/>
          <w:sz w:val="30"/>
          <w:szCs w:val="30"/>
        </w:rPr>
        <w:t>专业投资者告知及确认书</w:t>
      </w:r>
    </w:p>
    <w:tbl>
      <w:tblPr>
        <w:tblStyle w:val="7"/>
        <w:tblW w:w="8528"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552"/>
        <w:gridCol w:w="7976"/>
      </w:tblGrid>
      <w:tr w14:paraId="776EB40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5670" w:hRule="atLeast"/>
          <w:jc w:val="center"/>
        </w:trPr>
        <w:tc>
          <w:tcPr>
            <w:tcW w:w="552" w:type="dxa"/>
            <w:tcBorders>
              <w:right w:val="single" w:color="auto" w:sz="4" w:space="0"/>
            </w:tcBorders>
            <w:textDirection w:val="tbRlV"/>
            <w:vAlign w:val="center"/>
          </w:tcPr>
          <w:p w14:paraId="318F310C">
            <w:pPr>
              <w:jc w:val="center"/>
              <w:rPr>
                <w:rFonts w:hint="eastAsia" w:ascii="仿宋" w:hAnsi="仿宋" w:eastAsia="仿宋" w:cs="仿宋"/>
                <w:sz w:val="28"/>
                <w:szCs w:val="28"/>
              </w:rPr>
            </w:pPr>
            <w:r>
              <w:rPr>
                <w:rFonts w:hint="eastAsia" w:ascii="仿宋" w:hAnsi="仿宋" w:eastAsia="仿宋" w:cs="仿宋"/>
                <w:sz w:val="28"/>
                <w:szCs w:val="28"/>
              </w:rPr>
              <w:t>证券公司告知栏</w:t>
            </w:r>
          </w:p>
        </w:tc>
        <w:tc>
          <w:tcPr>
            <w:tcW w:w="7976" w:type="dxa"/>
            <w:tcBorders>
              <w:left w:val="single" w:color="auto" w:sz="4" w:space="0"/>
            </w:tcBorders>
            <w:vAlign w:val="center"/>
          </w:tcPr>
          <w:p w14:paraId="5D5967E2">
            <w:pPr>
              <w:snapToGrid w:val="0"/>
              <w:jc w:val="left"/>
              <w:rPr>
                <w:rFonts w:hint="eastAsia" w:ascii="仿宋" w:hAnsi="仿宋" w:eastAsia="仿宋" w:cs="仿宋"/>
                <w:sz w:val="28"/>
                <w:szCs w:val="28"/>
              </w:rPr>
            </w:pPr>
            <w:r>
              <w:rPr>
                <w:rFonts w:hint="eastAsia" w:ascii="仿宋" w:hAnsi="仿宋" w:eastAsia="仿宋" w:cs="仿宋"/>
                <w:sz w:val="28"/>
                <w:szCs w:val="28"/>
              </w:rPr>
              <w:t>尊敬的投资者（投资者姓名/名称:</w:t>
            </w:r>
            <w:r>
              <w:rPr>
                <w:rFonts w:hint="eastAsia" w:ascii="仿宋" w:hAnsi="仿宋" w:eastAsia="仿宋" w:cs="仿宋"/>
                <w:sz w:val="28"/>
                <w:szCs w:val="28"/>
                <w:u w:val="single"/>
              </w:rPr>
              <w:t xml:space="preserve">              </w:t>
            </w:r>
            <w:r>
              <w:rPr>
                <w:rFonts w:hint="eastAsia" w:ascii="仿宋" w:hAnsi="仿宋" w:eastAsia="仿宋" w:cs="仿宋"/>
                <w:sz w:val="28"/>
                <w:szCs w:val="28"/>
              </w:rPr>
              <w:t>）：</w:t>
            </w:r>
          </w:p>
          <w:p w14:paraId="49F330BA">
            <w:pPr>
              <w:snapToGrid w:val="0"/>
              <w:ind w:firstLine="480"/>
              <w:rPr>
                <w:rFonts w:hint="eastAsia" w:ascii="仿宋" w:hAnsi="仿宋" w:eastAsia="仿宋" w:cs="仿宋"/>
                <w:sz w:val="28"/>
                <w:szCs w:val="28"/>
              </w:rPr>
            </w:pPr>
            <w:r>
              <w:rPr>
                <w:rFonts w:hint="eastAsia" w:ascii="仿宋" w:hAnsi="仿宋" w:eastAsia="仿宋" w:cs="仿宋"/>
                <w:sz w:val="28"/>
                <w:szCs w:val="28"/>
              </w:rPr>
              <w:t>根据您提供的身份证明材料、财产状况、交易情况、工作经历等相关证明材料,经复核您被划分为专业投资者。现将有关事项告知如下,请您仔细阅读,并在投资者确认栏签字（签章）确认：</w:t>
            </w:r>
          </w:p>
          <w:p w14:paraId="11A1316E">
            <w:pPr>
              <w:snapToGrid w:val="0"/>
              <w:rPr>
                <w:rFonts w:hint="eastAsia" w:ascii="仿宋" w:hAnsi="仿宋" w:eastAsia="仿宋" w:cs="仿宋"/>
                <w:b/>
                <w:sz w:val="28"/>
                <w:szCs w:val="28"/>
                <w:highlight w:val="yellow"/>
              </w:rPr>
            </w:pPr>
            <w:r>
              <w:rPr>
                <w:rFonts w:hint="eastAsia" w:ascii="仿宋" w:hAnsi="仿宋" w:eastAsia="仿宋" w:cs="仿宋"/>
                <w:b/>
                <w:sz w:val="28"/>
                <w:szCs w:val="28"/>
              </w:rPr>
              <w:t>一、证券公司在向专业投资者销售金融产品或提供金融服务时，对专业投资者履行的适当性职责区别于其他投资者。</w:t>
            </w:r>
          </w:p>
          <w:p w14:paraId="6FF204FA">
            <w:pPr>
              <w:snapToGrid w:val="0"/>
              <w:rPr>
                <w:rFonts w:hint="eastAsia" w:ascii="仿宋" w:hAnsi="仿宋" w:eastAsia="仿宋" w:cs="仿宋"/>
                <w:b/>
                <w:sz w:val="28"/>
                <w:szCs w:val="28"/>
              </w:rPr>
            </w:pPr>
            <w:r>
              <w:rPr>
                <w:rFonts w:hint="eastAsia" w:ascii="仿宋" w:hAnsi="仿宋" w:eastAsia="仿宋" w:cs="仿宋"/>
                <w:b/>
                <w:sz w:val="28"/>
                <w:szCs w:val="28"/>
              </w:rPr>
              <w:t>二、如您希望不再被划分为专业投资者，可向本公司提出申请。</w:t>
            </w:r>
          </w:p>
          <w:p w14:paraId="32B5D79E">
            <w:pPr>
              <w:snapToGrid w:val="0"/>
              <w:rPr>
                <w:rFonts w:hint="eastAsia" w:ascii="仿宋" w:hAnsi="仿宋" w:eastAsia="仿宋" w:cs="仿宋"/>
                <w:b/>
                <w:sz w:val="28"/>
                <w:szCs w:val="28"/>
              </w:rPr>
            </w:pPr>
            <w:r>
              <w:rPr>
                <w:rFonts w:hint="eastAsia" w:ascii="仿宋" w:hAnsi="仿宋" w:eastAsia="仿宋" w:cs="仿宋"/>
                <w:b/>
                <w:sz w:val="28"/>
                <w:szCs w:val="28"/>
              </w:rPr>
              <w:t>三、当您的财产状况、交易情况、工作经历等信息发生重大变化时，请及时通知我公司，经复核如不再符合专业投资者的申请条件，将不再被划分为专业投资者。</w:t>
            </w:r>
          </w:p>
          <w:p w14:paraId="051D985A">
            <w:pPr>
              <w:snapToGrid w:val="0"/>
              <w:rPr>
                <w:rFonts w:hint="eastAsia" w:ascii="仿宋" w:hAnsi="仿宋" w:eastAsia="仿宋" w:cs="仿宋"/>
                <w:sz w:val="28"/>
                <w:szCs w:val="28"/>
              </w:rPr>
            </w:pPr>
          </w:p>
          <w:p w14:paraId="5B6A60E7">
            <w:pPr>
              <w:snapToGrid w:val="0"/>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eastAsia="zh-CN"/>
              </w:rPr>
              <w:t>xx</w:t>
            </w:r>
            <w:r>
              <w:rPr>
                <w:rFonts w:hint="eastAsia" w:ascii="仿宋" w:hAnsi="仿宋" w:eastAsia="仿宋" w:cs="仿宋"/>
                <w:sz w:val="28"/>
                <w:szCs w:val="28"/>
              </w:rPr>
              <w:t>证券股份有限公司（签章）：</w:t>
            </w:r>
          </w:p>
          <w:p w14:paraId="1B145E34">
            <w:pPr>
              <w:jc w:val="right"/>
              <w:rPr>
                <w:rFonts w:hint="eastAsia" w:ascii="仿宋" w:hAnsi="仿宋" w:eastAsia="仿宋" w:cs="仿宋"/>
                <w:sz w:val="28"/>
                <w:szCs w:val="28"/>
              </w:rPr>
            </w:pPr>
            <w:r>
              <w:rPr>
                <w:rFonts w:hint="eastAsia" w:ascii="仿宋" w:hAnsi="仿宋" w:eastAsia="仿宋" w:cs="仿宋"/>
                <w:sz w:val="28"/>
                <w:szCs w:val="28"/>
              </w:rPr>
              <w:t>年   月   日</w:t>
            </w:r>
          </w:p>
        </w:tc>
      </w:tr>
      <w:tr w14:paraId="1E8FF253">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cantSplit/>
          <w:trHeight w:val="5670" w:hRule="atLeast"/>
          <w:jc w:val="center"/>
        </w:trPr>
        <w:tc>
          <w:tcPr>
            <w:tcW w:w="552" w:type="dxa"/>
            <w:tcBorders>
              <w:right w:val="single" w:color="auto" w:sz="4" w:space="0"/>
            </w:tcBorders>
            <w:textDirection w:val="tbRlV"/>
            <w:vAlign w:val="center"/>
          </w:tcPr>
          <w:p w14:paraId="6CFD40CA">
            <w:pPr>
              <w:jc w:val="center"/>
              <w:rPr>
                <w:rFonts w:hint="eastAsia" w:ascii="仿宋" w:hAnsi="仿宋" w:eastAsia="仿宋" w:cs="仿宋"/>
                <w:sz w:val="28"/>
                <w:szCs w:val="28"/>
              </w:rPr>
            </w:pPr>
            <w:r>
              <w:rPr>
                <w:rFonts w:hint="eastAsia" w:ascii="仿宋" w:hAnsi="仿宋" w:eastAsia="仿宋" w:cs="仿宋"/>
                <w:sz w:val="28"/>
                <w:szCs w:val="28"/>
              </w:rPr>
              <w:t>投资者确认栏</w:t>
            </w:r>
          </w:p>
        </w:tc>
        <w:tc>
          <w:tcPr>
            <w:tcW w:w="7976" w:type="dxa"/>
            <w:tcBorders>
              <w:left w:val="single" w:color="auto" w:sz="4" w:space="0"/>
            </w:tcBorders>
            <w:vAlign w:val="center"/>
          </w:tcPr>
          <w:p w14:paraId="4AAB73E7">
            <w:pPr>
              <w:snapToGrid w:val="0"/>
              <w:ind w:firstLine="480"/>
              <w:rPr>
                <w:rFonts w:hint="eastAsia" w:ascii="仿宋" w:hAnsi="仿宋" w:eastAsia="仿宋" w:cs="仿宋"/>
                <w:b/>
                <w:sz w:val="28"/>
                <w:szCs w:val="28"/>
              </w:rPr>
            </w:pPr>
            <w:r>
              <w:rPr>
                <w:rFonts w:hint="eastAsia" w:ascii="仿宋" w:hAnsi="仿宋" w:eastAsia="仿宋" w:cs="仿宋"/>
                <w:sz w:val="28"/>
                <w:szCs w:val="28"/>
              </w:rPr>
              <w:t>本人/机构自愿申请被划分为专业投资者，已阅读了上述告知内容，确认相关申请资料真实、准确、完整，并知悉贵公司根据申请资料将本人/机构划分为专业投资者。对于贵公司销售的金融产品或提供的金融服务，本人/机构具有专业判断能力，能够自行进行专业判断。</w:t>
            </w:r>
          </w:p>
          <w:p w14:paraId="2E8A3BC3">
            <w:pPr>
              <w:snapToGrid w:val="0"/>
              <w:ind w:firstLine="480"/>
              <w:rPr>
                <w:rFonts w:hint="eastAsia" w:ascii="仿宋" w:hAnsi="仿宋" w:eastAsia="仿宋" w:cs="仿宋"/>
                <w:sz w:val="28"/>
                <w:szCs w:val="28"/>
              </w:rPr>
            </w:pPr>
            <w:r>
              <w:rPr>
                <w:rFonts w:hint="eastAsia" w:ascii="仿宋" w:hAnsi="仿宋" w:eastAsia="仿宋" w:cs="仿宋"/>
                <w:sz w:val="28"/>
                <w:szCs w:val="28"/>
              </w:rPr>
              <w:t>本人/机构确认已了解贵公司对专业投资者和普通投资者在履行适当性职责方面的区别，本人/机构知悉可以自愿申请或因不再符合专业投资者的条件，而不再被划分为专业投资者的规则。</w:t>
            </w:r>
          </w:p>
          <w:p w14:paraId="08236F53">
            <w:pPr>
              <w:rPr>
                <w:rFonts w:hint="eastAsia" w:ascii="仿宋" w:hAnsi="仿宋" w:eastAsia="仿宋" w:cs="仿宋"/>
                <w:sz w:val="28"/>
                <w:szCs w:val="28"/>
              </w:rPr>
            </w:pPr>
            <w:r>
              <w:rPr>
                <w:rFonts w:hint="eastAsia" w:ascii="仿宋" w:hAnsi="仿宋" w:eastAsia="仿宋" w:cs="仿宋"/>
                <w:sz w:val="28"/>
                <w:szCs w:val="28"/>
              </w:rPr>
              <w:t xml:space="preserve">                         </w:t>
            </w:r>
          </w:p>
          <w:p w14:paraId="52728191">
            <w:pPr>
              <w:ind w:right="1120"/>
              <w:jc w:val="right"/>
              <w:rPr>
                <w:rFonts w:hint="eastAsia" w:ascii="仿宋" w:hAnsi="仿宋" w:eastAsia="仿宋" w:cs="仿宋"/>
                <w:sz w:val="28"/>
                <w:szCs w:val="28"/>
              </w:rPr>
            </w:pPr>
            <w:r>
              <w:rPr>
                <w:rFonts w:hint="eastAsia" w:ascii="仿宋" w:hAnsi="仿宋" w:eastAsia="仿宋" w:cs="仿宋"/>
                <w:sz w:val="28"/>
                <w:szCs w:val="28"/>
              </w:rPr>
              <w:t>投资者（机构签章、法定代表人/授权代表人签名）：</w:t>
            </w:r>
          </w:p>
          <w:p w14:paraId="0DE17D48">
            <w:pPr>
              <w:wordWrap w:val="0"/>
              <w:jc w:val="right"/>
              <w:rPr>
                <w:rFonts w:hint="eastAsia" w:ascii="仿宋" w:hAnsi="仿宋" w:eastAsia="仿宋" w:cs="仿宋"/>
                <w:sz w:val="28"/>
                <w:szCs w:val="28"/>
              </w:rPr>
            </w:pPr>
            <w:r>
              <w:rPr>
                <w:rFonts w:hint="eastAsia" w:ascii="仿宋" w:hAnsi="仿宋" w:eastAsia="仿宋" w:cs="仿宋"/>
                <w:sz w:val="28"/>
                <w:szCs w:val="28"/>
              </w:rPr>
              <w:t xml:space="preserve">年   月   日  </w:t>
            </w:r>
          </w:p>
        </w:tc>
      </w:tr>
    </w:tbl>
    <w:p w14:paraId="1350125A"/>
    <w:p w14:paraId="503449C5"/>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2NmUzZDkzZGMxNmY5ODRiZDZlMmFjMmRkZWIwNzIifQ=="/>
  </w:docVars>
  <w:rsids>
    <w:rsidRoot w:val="00FE4BBD"/>
    <w:rsid w:val="002A1532"/>
    <w:rsid w:val="004218DE"/>
    <w:rsid w:val="0085751D"/>
    <w:rsid w:val="00C60772"/>
    <w:rsid w:val="00E50C52"/>
    <w:rsid w:val="00E856EA"/>
    <w:rsid w:val="00FE4BBD"/>
    <w:rsid w:val="63E81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uiPriority w:val="99"/>
    <w:pPr>
      <w:widowControl/>
      <w:tabs>
        <w:tab w:val="center" w:pos="4320"/>
        <w:tab w:val="right" w:pos="8640"/>
      </w:tabs>
      <w:jc w:val="left"/>
    </w:pPr>
    <w:rPr>
      <w:rFonts w:asciiTheme="minorHAnsi" w:hAnsiTheme="minorHAnsi" w:eastAsiaTheme="minorEastAsia" w:cstheme="minorBidi"/>
      <w:kern w:val="0"/>
      <w:sz w:val="22"/>
    </w:rPr>
  </w:style>
  <w:style w:type="paragraph" w:styleId="5">
    <w:name w:val="header"/>
    <w:basedOn w:val="1"/>
    <w:link w:val="10"/>
    <w:unhideWhenUsed/>
    <w:uiPriority w:val="99"/>
    <w:pPr>
      <w:widowControl/>
      <w:tabs>
        <w:tab w:val="center" w:pos="4320"/>
        <w:tab w:val="right" w:pos="8640"/>
      </w:tabs>
      <w:jc w:val="left"/>
    </w:pPr>
    <w:rPr>
      <w:rFonts w:asciiTheme="minorHAnsi" w:hAnsiTheme="minorHAnsi" w:eastAsiaTheme="minorEastAsia" w:cstheme="minorBidi"/>
      <w:kern w:val="0"/>
      <w:sz w:val="22"/>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uiPriority w:val="99"/>
    <w:rPr>
      <w:sz w:val="21"/>
      <w:szCs w:val="21"/>
    </w:rPr>
  </w:style>
  <w:style w:type="character" w:customStyle="1" w:styleId="10">
    <w:name w:val="页眉 字符"/>
    <w:basedOn w:val="8"/>
    <w:link w:val="5"/>
    <w:qFormat/>
    <w:uiPriority w:val="99"/>
  </w:style>
  <w:style w:type="character" w:customStyle="1" w:styleId="11">
    <w:name w:val="页脚 字符"/>
    <w:basedOn w:val="8"/>
    <w:link w:val="4"/>
    <w:qFormat/>
    <w:uiPriority w:val="99"/>
  </w:style>
  <w:style w:type="character" w:customStyle="1" w:styleId="12">
    <w:name w:val="批注文字 字符"/>
    <w:basedOn w:val="8"/>
    <w:link w:val="2"/>
    <w:semiHidden/>
    <w:uiPriority w:val="99"/>
    <w:rPr>
      <w:rFonts w:ascii="Calibri" w:hAnsi="Calibri" w:eastAsia="宋体" w:cs="Times New Roman"/>
      <w:kern w:val="2"/>
      <w:sz w:val="21"/>
    </w:rPr>
  </w:style>
  <w:style w:type="character" w:customStyle="1" w:styleId="13">
    <w:name w:val="批注主题 字符"/>
    <w:basedOn w:val="12"/>
    <w:link w:val="6"/>
    <w:semiHidden/>
    <w:qFormat/>
    <w:uiPriority w:val="99"/>
    <w:rPr>
      <w:rFonts w:ascii="Calibri" w:hAnsi="Calibri" w:eastAsia="宋体" w:cs="Times New Roman"/>
      <w:b/>
      <w:bCs/>
      <w:kern w:val="2"/>
      <w:sz w:val="21"/>
    </w:rPr>
  </w:style>
  <w:style w:type="character" w:customStyle="1" w:styleId="14">
    <w:name w:val="批注框文本 字符"/>
    <w:basedOn w:val="8"/>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524</Words>
  <Characters>524</Characters>
  <Lines>4</Lines>
  <Paragraphs>1</Paragraphs>
  <TotalTime>1</TotalTime>
  <ScaleCrop>false</ScaleCrop>
  <LinksUpToDate>false</LinksUpToDate>
  <CharactersWithSpaces>594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2022-03-06T11:13:00Z</dcterms:created>
  <dc:creator>Rae wang</dc:creator>
  <cp:lastModifiedBy>AJMD</cp:lastModifiedBy>
  <dcterms:modified xsi:type="dcterms:W3CDTF">2024-08-08T02:38:59Z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DE0C92A69AD64DD293C399232E04C3EF_12</vt:lpwstr>
  </property>
</Properties>
</file>